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02D6D95"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C7207E">
              <w:rPr>
                <w:b/>
                <w:bCs/>
                <w:color w:val="D85640"/>
                <w:sz w:val="26"/>
                <w:szCs w:val="26"/>
              </w:rPr>
              <w:t>Vayeitzei</w:t>
            </w:r>
            <w:proofErr w:type="spellEnd"/>
            <w:r w:rsidR="00563D69">
              <w:rPr>
                <w:b/>
                <w:bCs/>
                <w:color w:val="D85640"/>
                <w:sz w:val="26"/>
                <w:szCs w:val="26"/>
              </w:rPr>
              <w:t>,</w:t>
            </w:r>
            <w:r w:rsidR="00DB429E">
              <w:rPr>
                <w:b/>
                <w:bCs/>
                <w:color w:val="D85640"/>
                <w:sz w:val="26"/>
                <w:szCs w:val="26"/>
              </w:rPr>
              <w:t xml:space="preserve"> </w:t>
            </w:r>
            <w:r w:rsidR="00C7207E">
              <w:rPr>
                <w:b/>
                <w:bCs/>
                <w:color w:val="D85640"/>
                <w:sz w:val="26"/>
                <w:szCs w:val="26"/>
              </w:rPr>
              <w:t>Kislev 7</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BDBC799" w14:textId="77777777" w:rsidR="00D32211" w:rsidRPr="005C5E69" w:rsidRDefault="00D32211" w:rsidP="00D32211">
            <w:pPr>
              <w:jc w:val="center"/>
              <w:rPr>
                <w:i/>
                <w:iCs/>
                <w:color w:val="002060"/>
                <w:sz w:val="28"/>
                <w:szCs w:val="28"/>
              </w:rPr>
            </w:pPr>
            <w:r w:rsidRPr="005C5E69">
              <w:rPr>
                <w:b/>
                <w:bCs/>
                <w:color w:val="002060"/>
                <w:sz w:val="28"/>
                <w:szCs w:val="28"/>
              </w:rPr>
              <w:t xml:space="preserve">Reddish! Is that Good? – Part II </w:t>
            </w:r>
          </w:p>
          <w:p w14:paraId="398531E4" w14:textId="77777777" w:rsidR="00D32211" w:rsidRPr="005C5E69" w:rsidRDefault="00D32211" w:rsidP="00D32211">
            <w:pPr>
              <w:jc w:val="center"/>
              <w:rPr>
                <w:color w:val="002060"/>
              </w:rPr>
            </w:pPr>
            <w:proofErr w:type="spellStart"/>
            <w:r w:rsidRPr="005C5E69">
              <w:rPr>
                <w:color w:val="002060"/>
              </w:rPr>
              <w:t>Harav</w:t>
            </w:r>
            <w:proofErr w:type="spellEnd"/>
            <w:r w:rsidRPr="005C5E69">
              <w:rPr>
                <w:color w:val="002060"/>
              </w:rPr>
              <w:t xml:space="preserve"> Yosef Carmel  </w:t>
            </w:r>
          </w:p>
          <w:p w14:paraId="159DCDE6" w14:textId="3D279FF3" w:rsidR="00DD7109" w:rsidRPr="00862EF1" w:rsidRDefault="00DD7109" w:rsidP="00DD7109">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0B5DBF80" w14:textId="77777777" w:rsidR="00D32211" w:rsidRPr="00DF3CD8" w:rsidRDefault="00D32211" w:rsidP="00D32211">
      <w:pPr>
        <w:bidi w:val="0"/>
        <w:ind w:firstLine="426"/>
      </w:pPr>
      <w:r>
        <w:t xml:space="preserve">We saw last week that the fact that David was described both as reddish and having nice eyes (Shmuel I, 16:12) hints at David not being comparable to </w:t>
      </w:r>
      <w:proofErr w:type="spellStart"/>
      <w:r>
        <w:t>Eisav’s</w:t>
      </w:r>
      <w:proofErr w:type="spellEnd"/>
      <w:r>
        <w:t xml:space="preserve"> spilling of blood, as David did it as part of wars that followed Halacha, which turns them into </w:t>
      </w:r>
      <w:r>
        <w:rPr>
          <w:i/>
          <w:iCs/>
        </w:rPr>
        <w:t>mitzvot</w:t>
      </w:r>
      <w:r>
        <w:t>.</w:t>
      </w:r>
    </w:p>
    <w:p w14:paraId="2688462D" w14:textId="77777777" w:rsidR="00D32211" w:rsidRDefault="00D32211" w:rsidP="00D32211">
      <w:pPr>
        <w:bidi w:val="0"/>
        <w:ind w:firstLine="426"/>
      </w:pPr>
      <w:r>
        <w:t xml:space="preserve">This brings us to the question why Hashem did not let David build the </w:t>
      </w:r>
      <w:r>
        <w:rPr>
          <w:i/>
          <w:iCs/>
        </w:rPr>
        <w:t xml:space="preserve">Beit </w:t>
      </w:r>
      <w:proofErr w:type="spellStart"/>
      <w:r>
        <w:rPr>
          <w:i/>
          <w:iCs/>
        </w:rPr>
        <w:t>Hamikdash</w:t>
      </w:r>
      <w:proofErr w:type="spellEnd"/>
      <w:r>
        <w:t xml:space="preserve"> (rather, his son </w:t>
      </w:r>
      <w:proofErr w:type="spellStart"/>
      <w:r>
        <w:t>Shlomo</w:t>
      </w:r>
      <w:proofErr w:type="spellEnd"/>
      <w:r>
        <w:t xml:space="preserve"> did) despite his fervent desire to do so. Ostensibly, </w:t>
      </w:r>
      <w:proofErr w:type="spellStart"/>
      <w:r>
        <w:rPr>
          <w:i/>
          <w:iCs/>
        </w:rPr>
        <w:t>p’sukim</w:t>
      </w:r>
      <w:proofErr w:type="spellEnd"/>
      <w:r>
        <w:rPr>
          <w:i/>
          <w:iCs/>
        </w:rPr>
        <w:t xml:space="preserve"> </w:t>
      </w:r>
      <w:r>
        <w:t xml:space="preserve">in </w:t>
      </w:r>
      <w:proofErr w:type="spellStart"/>
      <w:r>
        <w:t>Divrei</w:t>
      </w:r>
      <w:proofErr w:type="spellEnd"/>
      <w:r>
        <w:t xml:space="preserve"> </w:t>
      </w:r>
      <w:proofErr w:type="spellStart"/>
      <w:r>
        <w:t>Haymim</w:t>
      </w:r>
      <w:proofErr w:type="spellEnd"/>
      <w:r>
        <w:t xml:space="preserve"> (I, 22:7-8) give the answer: “David said to </w:t>
      </w:r>
      <w:proofErr w:type="spellStart"/>
      <w:r>
        <w:t>Shlomo</w:t>
      </w:r>
      <w:proofErr w:type="spellEnd"/>
      <w:r>
        <w:t>: My son, it was in my heart to build a house for the name of Hashem, my G-d. [But] Hashem said to me: You spilled a lot of blood, and you waged great wars; you shall not build a house for My Name, for you have spilled much blood to the ground before Me.”</w:t>
      </w:r>
    </w:p>
    <w:p w14:paraId="54F8FA6C" w14:textId="77777777" w:rsidR="00D32211" w:rsidRDefault="00D32211" w:rsidP="00D32211">
      <w:pPr>
        <w:bidi w:val="0"/>
        <w:ind w:firstLine="426"/>
      </w:pPr>
      <w:r>
        <w:t xml:space="preserve">A </w:t>
      </w:r>
      <w:r>
        <w:rPr>
          <w:i/>
          <w:iCs/>
        </w:rPr>
        <w:t xml:space="preserve">midrash </w:t>
      </w:r>
      <w:r>
        <w:t>(</w:t>
      </w:r>
      <w:proofErr w:type="spellStart"/>
      <w:r>
        <w:t>Pesikta</w:t>
      </w:r>
      <w:proofErr w:type="spellEnd"/>
      <w:r>
        <w:t xml:space="preserve"> </w:t>
      </w:r>
      <w:proofErr w:type="spellStart"/>
      <w:r>
        <w:t>Rabbati</w:t>
      </w:r>
      <w:proofErr w:type="spellEnd"/>
      <w:r>
        <w:t xml:space="preserve"> 2) gives reason to believe that the </w:t>
      </w:r>
      <w:proofErr w:type="spellStart"/>
      <w:r>
        <w:rPr>
          <w:i/>
          <w:iCs/>
        </w:rPr>
        <w:t>pasuk</w:t>
      </w:r>
      <w:proofErr w:type="spellEnd"/>
      <w:r>
        <w:t xml:space="preserve"> is not to be taken literally. The </w:t>
      </w:r>
      <w:r>
        <w:rPr>
          <w:i/>
          <w:iCs/>
        </w:rPr>
        <w:t>midrash</w:t>
      </w:r>
      <w:r>
        <w:t xml:space="preserve"> relates that David was concerned that the fact that he did not have permission to build the Temple bode poorly for the divine view of his bloodshed, but Hashem reassured him that the blood he spilled was equivalent to the blood of proper sacrifices. If the blood was compared to a sacrifice, then it could not have been the reason for his disqualification! Simple logic also begs to distinguish between the murder of innocents (which </w:t>
      </w:r>
      <w:proofErr w:type="spellStart"/>
      <w:r>
        <w:t>Eisav</w:t>
      </w:r>
      <w:proofErr w:type="spellEnd"/>
      <w:r>
        <w:t xml:space="preserve"> was guilty of) and between the spilling of the blood of the enemies of </w:t>
      </w:r>
      <w:proofErr w:type="spellStart"/>
      <w:r>
        <w:t>Bnei</w:t>
      </w:r>
      <w:proofErr w:type="spellEnd"/>
      <w:r>
        <w:t xml:space="preserve"> Yisrael, who came to destroy in a fight against the people and Hashem. Can it be that those who were not brave enough to fight are fit to build the </w:t>
      </w:r>
      <w:r>
        <w:rPr>
          <w:i/>
          <w:iCs/>
        </w:rPr>
        <w:t xml:space="preserve">Beit </w:t>
      </w:r>
      <w:proofErr w:type="spellStart"/>
      <w:r>
        <w:rPr>
          <w:i/>
          <w:iCs/>
        </w:rPr>
        <w:t>Hamikdash</w:t>
      </w:r>
      <w:proofErr w:type="spellEnd"/>
      <w:r>
        <w:t xml:space="preserve"> and one willing to put his life on the line is not?!</w:t>
      </w:r>
    </w:p>
    <w:p w14:paraId="6EABE569" w14:textId="77777777" w:rsidR="00D32211" w:rsidRDefault="00D32211" w:rsidP="00D32211">
      <w:pPr>
        <w:bidi w:val="0"/>
        <w:ind w:firstLine="426"/>
      </w:pPr>
      <w:r>
        <w:t xml:space="preserve">Before completing an answer to these questions, we point out that a </w:t>
      </w:r>
      <w:proofErr w:type="spellStart"/>
      <w:r>
        <w:rPr>
          <w:i/>
          <w:iCs/>
        </w:rPr>
        <w:t>pasuk</w:t>
      </w:r>
      <w:proofErr w:type="spellEnd"/>
      <w:r>
        <w:rPr>
          <w:i/>
          <w:iCs/>
        </w:rPr>
        <w:t xml:space="preserve"> </w:t>
      </w:r>
      <w:r>
        <w:t xml:space="preserve">(Shmuel I, 25:28) explains that the reason Hashem agreed to a Temple that was attributed to David was the fact that he “fights the wars of Hashem.” Therefore, it makes sense that the problematic blood mentioned in </w:t>
      </w:r>
      <w:proofErr w:type="spellStart"/>
      <w:r>
        <w:t>Divrei</w:t>
      </w:r>
      <w:proofErr w:type="spellEnd"/>
      <w:r>
        <w:t xml:space="preserve"> </w:t>
      </w:r>
      <w:proofErr w:type="spellStart"/>
      <w:r>
        <w:t>Hayamim</w:t>
      </w:r>
      <w:proofErr w:type="spellEnd"/>
      <w:r>
        <w:t xml:space="preserve"> was the blood of other wars, i.e., the civil wars of two periods. One period was after the death of </w:t>
      </w:r>
      <w:proofErr w:type="spellStart"/>
      <w:r>
        <w:t>Shaul</w:t>
      </w:r>
      <w:proofErr w:type="spellEnd"/>
      <w:r>
        <w:t xml:space="preserve">, when the nation was split between those who were loyal to David and between the followers of </w:t>
      </w:r>
      <w:proofErr w:type="spellStart"/>
      <w:r>
        <w:t>Shaul’s</w:t>
      </w:r>
      <w:proofErr w:type="spellEnd"/>
      <w:r>
        <w:t xml:space="preserve"> son </w:t>
      </w:r>
      <w:proofErr w:type="spellStart"/>
      <w:r>
        <w:t>Ish</w:t>
      </w:r>
      <w:proofErr w:type="spellEnd"/>
      <w:r>
        <w:t xml:space="preserve"> </w:t>
      </w:r>
      <w:proofErr w:type="spellStart"/>
      <w:r>
        <w:t>Boshet</w:t>
      </w:r>
      <w:proofErr w:type="spellEnd"/>
      <w:r>
        <w:t xml:space="preserve"> and his general Avner. The second war within the nation was between the devotees of David and the rebels who followed his son </w:t>
      </w:r>
      <w:proofErr w:type="spellStart"/>
      <w:r>
        <w:t>Avshalom</w:t>
      </w:r>
      <w:proofErr w:type="spellEnd"/>
      <w:r>
        <w:t xml:space="preserve">. </w:t>
      </w:r>
    </w:p>
    <w:p w14:paraId="538CE7BA" w14:textId="77777777" w:rsidR="00D32211" w:rsidRDefault="00D32211" w:rsidP="00D32211">
      <w:pPr>
        <w:bidi w:val="0"/>
        <w:ind w:firstLine="426"/>
      </w:pPr>
      <w:r>
        <w:t xml:space="preserve">This approach will help explain the ostensible redundancy in the </w:t>
      </w:r>
      <w:proofErr w:type="spellStart"/>
      <w:r>
        <w:rPr>
          <w:i/>
          <w:iCs/>
        </w:rPr>
        <w:t>pasuk</w:t>
      </w:r>
      <w:proofErr w:type="spellEnd"/>
      <w:r>
        <w:t xml:space="preserve"> in </w:t>
      </w:r>
      <w:proofErr w:type="spellStart"/>
      <w:r>
        <w:t>Divrei</w:t>
      </w:r>
      <w:proofErr w:type="spellEnd"/>
      <w:r>
        <w:t xml:space="preserve"> </w:t>
      </w:r>
      <w:proofErr w:type="spellStart"/>
      <w:r>
        <w:t>Hayamim</w:t>
      </w:r>
      <w:proofErr w:type="spellEnd"/>
      <w:r>
        <w:t xml:space="preserve"> – it refers both in the beginning and the end of the </w:t>
      </w:r>
      <w:proofErr w:type="spellStart"/>
      <w:r>
        <w:rPr>
          <w:i/>
          <w:iCs/>
        </w:rPr>
        <w:t>pasuk</w:t>
      </w:r>
      <w:proofErr w:type="spellEnd"/>
      <w:r>
        <w:t xml:space="preserve"> to the great amount of blood that David spilled. What does the second refer to that the first does not? Rather, the first part of the </w:t>
      </w:r>
      <w:proofErr w:type="spellStart"/>
      <w:r>
        <w:rPr>
          <w:i/>
          <w:iCs/>
        </w:rPr>
        <w:t>pasuk</w:t>
      </w:r>
      <w:proofErr w:type="spellEnd"/>
      <w:r>
        <w:t xml:space="preserve"> is the reason that David was appropriate to build the Temple (he fought Hashem’s wars against the enemies), and the second mention of blood was the reason that he nevertheless could not build it (because of the killing within the nation).</w:t>
      </w:r>
    </w:p>
    <w:p w14:paraId="5FA2AAB4" w14:textId="77777777" w:rsidR="00D32211" w:rsidRPr="0067416E" w:rsidRDefault="00D32211" w:rsidP="00D32211">
      <w:pPr>
        <w:bidi w:val="0"/>
        <w:ind w:firstLine="426"/>
        <w:rPr>
          <w:rtl/>
        </w:rPr>
      </w:pPr>
      <w:r>
        <w:t xml:space="preserve">The soldiers of the IDF have clean hands in their heroic efforts in fighting our enemies. We must be careful to not quarrel with our fellows in the nation, not to speak of civil war, Heaven </w:t>
      </w:r>
      <w:proofErr w:type="gramStart"/>
      <w:r>
        <w:t>forbid</w:t>
      </w:r>
      <w:proofErr w:type="gramEnd"/>
      <w:r>
        <w: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133962">
            <w:pPr>
              <w:bidi w:val="0"/>
              <w:jc w:val="center"/>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78F46750" w14:textId="2A463BA4" w:rsidR="001712BD" w:rsidRPr="00DC3461" w:rsidRDefault="001712BD" w:rsidP="001712BD">
            <w:pPr>
              <w:tabs>
                <w:tab w:val="left" w:pos="743"/>
              </w:tabs>
              <w:ind w:left="284" w:right="135"/>
              <w:jc w:val="center"/>
              <w:rPr>
                <w:rFonts w:hint="cs"/>
                <w:sz w:val="16"/>
                <w:szCs w:val="16"/>
                <w:rtl/>
              </w:rPr>
            </w:pPr>
          </w:p>
          <w:p w14:paraId="2620D4D0" w14:textId="77777777" w:rsidR="00DC3461" w:rsidRPr="00DC3461" w:rsidRDefault="00DC3461" w:rsidP="00DC3461">
            <w:pPr>
              <w:bidi w:val="0"/>
              <w:jc w:val="center"/>
              <w:rPr>
                <w:sz w:val="16"/>
                <w:szCs w:val="16"/>
              </w:rPr>
            </w:pPr>
            <w:r w:rsidRPr="00DC3461">
              <w:rPr>
                <w:b/>
                <w:bCs/>
                <w:sz w:val="16"/>
                <w:szCs w:val="16"/>
              </w:rPr>
              <w:t xml:space="preserve">R' Yona Avraham ben Shmuel </w:t>
            </w:r>
            <w:proofErr w:type="spellStart"/>
            <w:r w:rsidRPr="00DC3461">
              <w:rPr>
                <w:b/>
                <w:bCs/>
                <w:sz w:val="16"/>
                <w:szCs w:val="16"/>
              </w:rPr>
              <w:t>Storfer</w:t>
            </w:r>
            <w:proofErr w:type="spellEnd"/>
            <w:r w:rsidRPr="00DC3461">
              <w:rPr>
                <w:sz w:val="16"/>
                <w:szCs w:val="16"/>
              </w:rPr>
              <w:t xml:space="preserve"> </w:t>
            </w:r>
            <w:proofErr w:type="spellStart"/>
            <w:proofErr w:type="gramStart"/>
            <w:r w:rsidRPr="00DC3461">
              <w:rPr>
                <w:sz w:val="16"/>
                <w:szCs w:val="16"/>
              </w:rPr>
              <w:t>z”l</w:t>
            </w:r>
            <w:proofErr w:type="spellEnd"/>
            <w:proofErr w:type="gramEnd"/>
            <w:r w:rsidRPr="00DC3461">
              <w:rPr>
                <w:sz w:val="16"/>
                <w:szCs w:val="16"/>
              </w:rPr>
              <w:t xml:space="preserve"> 19 Kislev</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7DA33EBB" w:rsidR="002A65C7" w:rsidRDefault="00DD7109" w:rsidP="00A63ABC">
      <w:pPr>
        <w:bidi w:val="0"/>
        <w:ind w:firstLine="426"/>
        <w:jc w:val="center"/>
      </w:pPr>
      <w:r>
        <w:rPr>
          <w:noProof/>
        </w:rPr>
        <w:drawing>
          <wp:anchor distT="0" distB="0" distL="114300" distR="114300" simplePos="0" relativeHeight="251661824" behindDoc="0" locked="1" layoutInCell="1" allowOverlap="1" wp14:anchorId="7AAA9353" wp14:editId="3FA875B5">
            <wp:simplePos x="0" y="0"/>
            <wp:positionH relativeFrom="margin">
              <wp:align>center</wp:align>
            </wp:positionH>
            <wp:positionV relativeFrom="margin">
              <wp:align>bottom</wp:align>
            </wp:positionV>
            <wp:extent cx="3358515" cy="53784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3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A3B9D" w14:textId="77777777" w:rsidR="002A65C7" w:rsidRDefault="002A65C7" w:rsidP="002A65C7">
      <w:pPr>
        <w:bidi w:val="0"/>
        <w:ind w:firstLine="426"/>
        <w:jc w:val="center"/>
      </w:pPr>
    </w:p>
    <w:p w14:paraId="3C05C6D8" w14:textId="77777777" w:rsidR="002A65C7" w:rsidRDefault="002A65C7" w:rsidP="002A65C7">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06D9325C" w14:textId="1E355BCC" w:rsidR="002A65C7" w:rsidRDefault="002A65C7" w:rsidP="002A65C7">
      <w:pPr>
        <w:bidi w:val="0"/>
        <w:ind w:firstLine="426"/>
        <w:jc w:val="center"/>
      </w:pPr>
    </w:p>
    <w:p w14:paraId="000F5544" w14:textId="6746AEFF" w:rsidR="00D32211" w:rsidRDefault="00D32211" w:rsidP="00D32211">
      <w:pPr>
        <w:bidi w:val="0"/>
        <w:ind w:firstLine="426"/>
        <w:jc w:val="center"/>
      </w:pPr>
    </w:p>
    <w:p w14:paraId="1DB46DAB" w14:textId="77777777" w:rsidR="00D32211" w:rsidRDefault="00D32211" w:rsidP="00D32211">
      <w:pPr>
        <w:bidi w:val="0"/>
        <w:ind w:firstLine="426"/>
        <w:jc w:val="center"/>
      </w:pPr>
    </w:p>
    <w:p w14:paraId="6CD35E44"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66B4930" w14:textId="77777777" w:rsidR="00D32211" w:rsidRPr="009E666D" w:rsidRDefault="00D32211" w:rsidP="00D32211">
      <w:pPr>
        <w:bidi w:val="0"/>
        <w:rPr>
          <w:b/>
          <w:bCs/>
          <w:i/>
          <w:iCs/>
        </w:rPr>
      </w:pPr>
      <w:bookmarkStart w:id="2" w:name="_Hlk181356201"/>
      <w:r>
        <w:rPr>
          <w:b/>
          <w:bCs/>
          <w:color w:val="D85640"/>
          <w:sz w:val="28"/>
          <w:szCs w:val="28"/>
        </w:rPr>
        <w:t xml:space="preserve">Wrong </w:t>
      </w:r>
      <w:proofErr w:type="spellStart"/>
      <w:r>
        <w:rPr>
          <w:b/>
          <w:bCs/>
          <w:i/>
          <w:iCs/>
          <w:color w:val="D85640"/>
          <w:sz w:val="28"/>
          <w:szCs w:val="28"/>
        </w:rPr>
        <w:t>Beracha</w:t>
      </w:r>
      <w:proofErr w:type="spellEnd"/>
      <w:r>
        <w:rPr>
          <w:b/>
          <w:bCs/>
          <w:color w:val="D85640"/>
          <w:sz w:val="28"/>
          <w:szCs w:val="28"/>
        </w:rPr>
        <w:t xml:space="preserve"> on </w:t>
      </w:r>
      <w:r>
        <w:rPr>
          <w:b/>
          <w:bCs/>
          <w:i/>
          <w:iCs/>
          <w:color w:val="D85640"/>
          <w:sz w:val="28"/>
          <w:szCs w:val="28"/>
        </w:rPr>
        <w:t>Tefillin Shel Yad</w:t>
      </w:r>
      <w:r>
        <w:rPr>
          <w:b/>
          <w:bCs/>
          <w:color w:val="D85640"/>
          <w:sz w:val="28"/>
          <w:szCs w:val="28"/>
        </w:rPr>
        <w:t xml:space="preserve"> </w:t>
      </w:r>
    </w:p>
    <w:p w14:paraId="0CE3BC90" w14:textId="77777777" w:rsidR="00D32211" w:rsidRPr="002822FD" w:rsidRDefault="00D32211" w:rsidP="00D32211">
      <w:pPr>
        <w:bidi w:val="0"/>
        <w:rPr>
          <w:b/>
          <w:bCs/>
          <w:color w:val="D85640"/>
        </w:rPr>
      </w:pPr>
    </w:p>
    <w:p w14:paraId="17C59930" w14:textId="77777777" w:rsidR="00D32211" w:rsidRPr="00A372D8" w:rsidRDefault="00D32211" w:rsidP="00D32211">
      <w:pPr>
        <w:shd w:val="clear" w:color="auto" w:fill="FFFFFF"/>
        <w:bidi w:val="0"/>
        <w:jc w:val="both"/>
        <w:rPr>
          <w:color w:val="222222"/>
        </w:rPr>
      </w:pPr>
      <w:r w:rsidRPr="00D32211">
        <w:rPr>
          <w:b/>
          <w:bCs/>
          <w:color w:val="D85640"/>
          <w:sz w:val="24"/>
          <w:szCs w:val="24"/>
          <w:u w:val="single"/>
        </w:rPr>
        <w:t>Question</w:t>
      </w:r>
      <w:r w:rsidRPr="00D32211">
        <w:rPr>
          <w:b/>
          <w:bCs/>
          <w:color w:val="D85640"/>
          <w:sz w:val="24"/>
          <w:szCs w:val="24"/>
        </w:rPr>
        <w:t>:</w:t>
      </w:r>
      <w:r w:rsidRPr="00D32211">
        <w:rPr>
          <w:sz w:val="24"/>
          <w:szCs w:val="24"/>
        </w:rPr>
        <w:t xml:space="preserve"> </w:t>
      </w:r>
      <w:r>
        <w:rPr>
          <w:color w:val="222222"/>
          <w:shd w:val="clear" w:color="auto" w:fill="FFFFFF"/>
        </w:rPr>
        <w:t xml:space="preserve">I (an Ashkenazi) accidentally said the </w:t>
      </w:r>
      <w:proofErr w:type="spellStart"/>
      <w:r>
        <w:rPr>
          <w:i/>
          <w:iCs/>
          <w:color w:val="222222"/>
          <w:shd w:val="clear" w:color="auto" w:fill="FFFFFF"/>
        </w:rPr>
        <w:t>beracha</w:t>
      </w:r>
      <w:proofErr w:type="spellEnd"/>
      <w:r>
        <w:rPr>
          <w:color w:val="222222"/>
          <w:shd w:val="clear" w:color="auto" w:fill="FFFFFF"/>
        </w:rPr>
        <w:t xml:space="preserve"> of </w:t>
      </w:r>
      <w:r>
        <w:rPr>
          <w:i/>
          <w:iCs/>
          <w:color w:val="222222"/>
          <w:shd w:val="clear" w:color="auto" w:fill="FFFFFF"/>
        </w:rPr>
        <w:t xml:space="preserve">Al </w:t>
      </w:r>
      <w:proofErr w:type="spellStart"/>
      <w:r>
        <w:rPr>
          <w:i/>
          <w:iCs/>
          <w:color w:val="222222"/>
          <w:shd w:val="clear" w:color="auto" w:fill="FFFFFF"/>
        </w:rPr>
        <w:t>Mitzvat</w:t>
      </w:r>
      <w:proofErr w:type="spellEnd"/>
      <w:r>
        <w:rPr>
          <w:i/>
          <w:iCs/>
          <w:color w:val="222222"/>
          <w:shd w:val="clear" w:color="auto" w:fill="FFFFFF"/>
        </w:rPr>
        <w:t xml:space="preserve"> Tefillin</w:t>
      </w:r>
      <w:r>
        <w:rPr>
          <w:color w:val="222222"/>
          <w:shd w:val="clear" w:color="auto" w:fill="FFFFFF"/>
        </w:rPr>
        <w:t xml:space="preserve"> (=</w:t>
      </w:r>
      <w:r w:rsidRPr="001723DF">
        <w:rPr>
          <w:i/>
          <w:iCs/>
          <w:color w:val="222222"/>
          <w:shd w:val="clear" w:color="auto" w:fill="FFFFFF"/>
        </w:rPr>
        <w:t>AMT</w:t>
      </w:r>
      <w:r>
        <w:rPr>
          <w:color w:val="222222"/>
          <w:shd w:val="clear" w:color="auto" w:fill="FFFFFF"/>
        </w:rPr>
        <w:t xml:space="preserve">) on my </w:t>
      </w:r>
      <w:r>
        <w:rPr>
          <w:i/>
          <w:iCs/>
          <w:color w:val="222222"/>
          <w:shd w:val="clear" w:color="auto" w:fill="FFFFFF"/>
        </w:rPr>
        <w:t xml:space="preserve">tefillin </w:t>
      </w:r>
      <w:proofErr w:type="spellStart"/>
      <w:r>
        <w:rPr>
          <w:i/>
          <w:iCs/>
          <w:color w:val="222222"/>
          <w:shd w:val="clear" w:color="auto" w:fill="FFFFFF"/>
        </w:rPr>
        <w:t>shel</w:t>
      </w:r>
      <w:proofErr w:type="spellEnd"/>
      <w:r>
        <w:rPr>
          <w:i/>
          <w:iCs/>
          <w:color w:val="222222"/>
          <w:shd w:val="clear" w:color="auto" w:fill="FFFFFF"/>
        </w:rPr>
        <w:t xml:space="preserve"> yad</w:t>
      </w:r>
      <w:r>
        <w:rPr>
          <w:color w:val="222222"/>
          <w:shd w:val="clear" w:color="auto" w:fill="FFFFFF"/>
        </w:rPr>
        <w:t xml:space="preserve"> and realized right before putting on the </w:t>
      </w:r>
      <w:proofErr w:type="spellStart"/>
      <w:r>
        <w:rPr>
          <w:i/>
          <w:iCs/>
          <w:color w:val="222222"/>
          <w:shd w:val="clear" w:color="auto" w:fill="FFFFFF"/>
        </w:rPr>
        <w:t>shel</w:t>
      </w:r>
      <w:proofErr w:type="spellEnd"/>
      <w:r>
        <w:rPr>
          <w:i/>
          <w:iCs/>
          <w:color w:val="222222"/>
          <w:shd w:val="clear" w:color="auto" w:fill="FFFFFF"/>
        </w:rPr>
        <w:t xml:space="preserve"> </w:t>
      </w:r>
      <w:proofErr w:type="spellStart"/>
      <w:r>
        <w:rPr>
          <w:i/>
          <w:iCs/>
          <w:color w:val="222222"/>
          <w:shd w:val="clear" w:color="auto" w:fill="FFFFFF"/>
        </w:rPr>
        <w:t>rosh</w:t>
      </w:r>
      <w:proofErr w:type="spellEnd"/>
      <w:r>
        <w:rPr>
          <w:color w:val="222222"/>
          <w:shd w:val="clear" w:color="auto" w:fill="FFFFFF"/>
        </w:rPr>
        <w:t xml:space="preserve">. What should I have done in regard to </w:t>
      </w:r>
      <w:proofErr w:type="spellStart"/>
      <w:r>
        <w:rPr>
          <w:i/>
          <w:iCs/>
          <w:color w:val="222222"/>
          <w:shd w:val="clear" w:color="auto" w:fill="FFFFFF"/>
        </w:rPr>
        <w:t>berachot</w:t>
      </w:r>
      <w:proofErr w:type="spellEnd"/>
      <w:r>
        <w:rPr>
          <w:color w:val="222222"/>
          <w:shd w:val="clear" w:color="auto" w:fill="FFFFFF"/>
        </w:rPr>
        <w:t xml:space="preserve"> – repeat it for the </w:t>
      </w:r>
      <w:proofErr w:type="spellStart"/>
      <w:r>
        <w:rPr>
          <w:i/>
          <w:iCs/>
          <w:color w:val="222222"/>
          <w:shd w:val="clear" w:color="auto" w:fill="FFFFFF"/>
        </w:rPr>
        <w:t>shel</w:t>
      </w:r>
      <w:proofErr w:type="spellEnd"/>
      <w:r>
        <w:rPr>
          <w:i/>
          <w:iCs/>
          <w:color w:val="222222"/>
          <w:shd w:val="clear" w:color="auto" w:fill="FFFFFF"/>
        </w:rPr>
        <w:t xml:space="preserve"> </w:t>
      </w:r>
      <w:proofErr w:type="spellStart"/>
      <w:r>
        <w:rPr>
          <w:i/>
          <w:iCs/>
          <w:color w:val="222222"/>
          <w:shd w:val="clear" w:color="auto" w:fill="FFFFFF"/>
        </w:rPr>
        <w:t>rosh</w:t>
      </w:r>
      <w:proofErr w:type="spellEnd"/>
      <w:r>
        <w:rPr>
          <w:color w:val="222222"/>
          <w:shd w:val="clear" w:color="auto" w:fill="FFFFFF"/>
        </w:rPr>
        <w:t xml:space="preserve">? Say </w:t>
      </w:r>
      <w:proofErr w:type="spellStart"/>
      <w:r>
        <w:rPr>
          <w:i/>
          <w:iCs/>
          <w:color w:val="222222"/>
          <w:shd w:val="clear" w:color="auto" w:fill="FFFFFF"/>
        </w:rPr>
        <w:t>L’haniach</w:t>
      </w:r>
      <w:proofErr w:type="spellEnd"/>
      <w:r>
        <w:rPr>
          <w:color w:val="222222"/>
          <w:shd w:val="clear" w:color="auto" w:fill="FFFFFF"/>
        </w:rPr>
        <w:t xml:space="preserve"> </w:t>
      </w:r>
      <w:r>
        <w:rPr>
          <w:i/>
          <w:iCs/>
          <w:color w:val="222222"/>
          <w:shd w:val="clear" w:color="auto" w:fill="FFFFFF"/>
        </w:rPr>
        <w:t xml:space="preserve">Tefillin </w:t>
      </w:r>
      <w:r>
        <w:rPr>
          <w:color w:val="222222"/>
          <w:shd w:val="clear" w:color="auto" w:fill="FFFFFF"/>
        </w:rPr>
        <w:t>(=</w:t>
      </w:r>
      <w:r>
        <w:rPr>
          <w:i/>
          <w:iCs/>
          <w:color w:val="222222"/>
          <w:shd w:val="clear" w:color="auto" w:fill="FFFFFF"/>
        </w:rPr>
        <w:t>LT</w:t>
      </w:r>
      <w:r>
        <w:rPr>
          <w:color w:val="222222"/>
          <w:shd w:val="clear" w:color="auto" w:fill="FFFFFF"/>
        </w:rPr>
        <w:t>)</w:t>
      </w:r>
      <w:r>
        <w:rPr>
          <w:i/>
          <w:iCs/>
          <w:color w:val="222222"/>
          <w:shd w:val="clear" w:color="auto" w:fill="FFFFFF"/>
        </w:rPr>
        <w:t xml:space="preserve"> </w:t>
      </w:r>
      <w:r>
        <w:rPr>
          <w:color w:val="222222"/>
          <w:shd w:val="clear" w:color="auto" w:fill="FFFFFF"/>
        </w:rPr>
        <w:t xml:space="preserve">on the </w:t>
      </w:r>
      <w:proofErr w:type="spellStart"/>
      <w:r>
        <w:rPr>
          <w:i/>
          <w:iCs/>
          <w:color w:val="222222"/>
          <w:shd w:val="clear" w:color="auto" w:fill="FFFFFF"/>
        </w:rPr>
        <w:t>shel</w:t>
      </w:r>
      <w:proofErr w:type="spellEnd"/>
      <w:r>
        <w:rPr>
          <w:i/>
          <w:iCs/>
          <w:color w:val="222222"/>
          <w:shd w:val="clear" w:color="auto" w:fill="FFFFFF"/>
        </w:rPr>
        <w:t xml:space="preserve"> </w:t>
      </w:r>
      <w:proofErr w:type="spellStart"/>
      <w:r>
        <w:rPr>
          <w:i/>
          <w:iCs/>
          <w:color w:val="222222"/>
          <w:shd w:val="clear" w:color="auto" w:fill="FFFFFF"/>
        </w:rPr>
        <w:t>rosh</w:t>
      </w:r>
      <w:proofErr w:type="spellEnd"/>
      <w:r>
        <w:rPr>
          <w:color w:val="222222"/>
          <w:shd w:val="clear" w:color="auto" w:fill="FFFFFF"/>
        </w:rPr>
        <w:t>? Something else?</w:t>
      </w:r>
    </w:p>
    <w:bookmarkEnd w:id="2"/>
    <w:p w14:paraId="129274BF" w14:textId="77777777" w:rsidR="00D32211" w:rsidRPr="002C1B93" w:rsidRDefault="00D32211" w:rsidP="00D32211">
      <w:pPr>
        <w:bidi w:val="0"/>
      </w:pPr>
    </w:p>
    <w:p w14:paraId="1795809B" w14:textId="77777777" w:rsidR="00D32211" w:rsidRPr="00F30FAD" w:rsidRDefault="00D32211" w:rsidP="00D32211">
      <w:pPr>
        <w:bidi w:val="0"/>
        <w:ind w:right="26"/>
        <w:jc w:val="both"/>
        <w:rPr>
          <w:rtl/>
        </w:rPr>
      </w:pPr>
      <w:r w:rsidRPr="00D32211">
        <w:rPr>
          <w:b/>
          <w:bCs/>
          <w:color w:val="D85640"/>
          <w:sz w:val="24"/>
          <w:szCs w:val="24"/>
          <w:u w:val="single"/>
        </w:rPr>
        <w:t>Answer</w:t>
      </w:r>
      <w:r w:rsidRPr="00D32211">
        <w:rPr>
          <w:b/>
          <w:bCs/>
          <w:color w:val="D85640"/>
          <w:sz w:val="24"/>
          <w:szCs w:val="24"/>
        </w:rPr>
        <w:t>:</w:t>
      </w:r>
      <w:r w:rsidRPr="00D32211">
        <w:rPr>
          <w:sz w:val="24"/>
          <w:szCs w:val="24"/>
        </w:rPr>
        <w:t xml:space="preserve"> </w:t>
      </w:r>
      <w:r>
        <w:t xml:space="preserve">The </w:t>
      </w:r>
      <w:proofErr w:type="spellStart"/>
      <w:r>
        <w:rPr>
          <w:i/>
          <w:iCs/>
        </w:rPr>
        <w:t>gemara</w:t>
      </w:r>
      <w:proofErr w:type="spellEnd"/>
      <w:r>
        <w:t xml:space="preserve"> (</w:t>
      </w:r>
      <w:proofErr w:type="spellStart"/>
      <w:r>
        <w:t>Menachot</w:t>
      </w:r>
      <w:proofErr w:type="spellEnd"/>
      <w:r>
        <w:t xml:space="preserve"> 36a) lists </w:t>
      </w:r>
      <w:r>
        <w:rPr>
          <w:i/>
          <w:iCs/>
        </w:rPr>
        <w:t>LT</w:t>
      </w:r>
      <w:r>
        <w:t xml:space="preserve"> as the </w:t>
      </w:r>
      <w:proofErr w:type="spellStart"/>
      <w:r>
        <w:rPr>
          <w:i/>
          <w:iCs/>
        </w:rPr>
        <w:t>beracha</w:t>
      </w:r>
      <w:proofErr w:type="spellEnd"/>
      <w:r>
        <w:rPr>
          <w:i/>
          <w:iCs/>
        </w:rPr>
        <w:t xml:space="preserve"> </w:t>
      </w:r>
      <w:r>
        <w:t xml:space="preserve">for the </w:t>
      </w:r>
      <w:proofErr w:type="spellStart"/>
      <w:r>
        <w:rPr>
          <w:i/>
          <w:iCs/>
        </w:rPr>
        <w:t>shel</w:t>
      </w:r>
      <w:proofErr w:type="spellEnd"/>
      <w:r>
        <w:rPr>
          <w:i/>
          <w:iCs/>
        </w:rPr>
        <w:t xml:space="preserve"> yad</w:t>
      </w:r>
      <w:r>
        <w:t xml:space="preserve"> and </w:t>
      </w:r>
      <w:r>
        <w:rPr>
          <w:i/>
          <w:iCs/>
        </w:rPr>
        <w:t>AMT</w:t>
      </w:r>
      <w:r>
        <w:t xml:space="preserve"> for </w:t>
      </w:r>
      <w:proofErr w:type="spellStart"/>
      <w:r>
        <w:rPr>
          <w:i/>
          <w:iCs/>
        </w:rPr>
        <w:t>shel</w:t>
      </w:r>
      <w:proofErr w:type="spellEnd"/>
      <w:r>
        <w:rPr>
          <w:i/>
          <w:iCs/>
        </w:rPr>
        <w:t xml:space="preserve"> </w:t>
      </w:r>
      <w:proofErr w:type="spellStart"/>
      <w:r>
        <w:rPr>
          <w:i/>
          <w:iCs/>
        </w:rPr>
        <w:t>rosh</w:t>
      </w:r>
      <w:proofErr w:type="spellEnd"/>
      <w:r>
        <w:t xml:space="preserve">, but one way of learning the </w:t>
      </w:r>
      <w:proofErr w:type="spellStart"/>
      <w:r>
        <w:rPr>
          <w:i/>
          <w:iCs/>
        </w:rPr>
        <w:t>gemara</w:t>
      </w:r>
      <w:proofErr w:type="spellEnd"/>
      <w:r>
        <w:t xml:space="preserve"> is that one makes two </w:t>
      </w:r>
      <w:proofErr w:type="spellStart"/>
      <w:r>
        <w:rPr>
          <w:i/>
          <w:iCs/>
        </w:rPr>
        <w:t>berachot</w:t>
      </w:r>
      <w:proofErr w:type="spellEnd"/>
      <w:r>
        <w:t xml:space="preserve"> only if he speaks between putting on the two (see </w:t>
      </w:r>
      <w:proofErr w:type="spellStart"/>
      <w:r>
        <w:t>Rashi</w:t>
      </w:r>
      <w:proofErr w:type="spellEnd"/>
      <w:r>
        <w:t xml:space="preserve"> ad loc.; Shulchan </w:t>
      </w:r>
      <w:proofErr w:type="spellStart"/>
      <w:r>
        <w:t>Aruch</w:t>
      </w:r>
      <w:proofErr w:type="spellEnd"/>
      <w:r>
        <w:t xml:space="preserve">, </w:t>
      </w:r>
      <w:proofErr w:type="spellStart"/>
      <w:r>
        <w:t>Orach</w:t>
      </w:r>
      <w:proofErr w:type="spellEnd"/>
      <w:r>
        <w:t xml:space="preserve"> Chayim 25:5). For Ashkenazim, when one speaks, he needs to repeat </w:t>
      </w:r>
      <w:r>
        <w:rPr>
          <w:i/>
          <w:iCs/>
        </w:rPr>
        <w:t xml:space="preserve">LT </w:t>
      </w:r>
      <w:r>
        <w:t xml:space="preserve">along with </w:t>
      </w:r>
      <w:r>
        <w:rPr>
          <w:i/>
          <w:iCs/>
        </w:rPr>
        <w:t xml:space="preserve">AMT </w:t>
      </w:r>
      <w:r>
        <w:t xml:space="preserve">for the </w:t>
      </w:r>
      <w:proofErr w:type="spellStart"/>
      <w:r>
        <w:rPr>
          <w:i/>
          <w:iCs/>
        </w:rPr>
        <w:t>shel</w:t>
      </w:r>
      <w:proofErr w:type="spellEnd"/>
      <w:r>
        <w:rPr>
          <w:i/>
          <w:iCs/>
        </w:rPr>
        <w:t xml:space="preserve"> </w:t>
      </w:r>
      <w:proofErr w:type="spellStart"/>
      <w:r>
        <w:rPr>
          <w:i/>
          <w:iCs/>
        </w:rPr>
        <w:t>rosh</w:t>
      </w:r>
      <w:proofErr w:type="spellEnd"/>
      <w:r>
        <w:rPr>
          <w:rFonts w:hint="cs"/>
          <w:i/>
          <w:iCs/>
          <w:rtl/>
        </w:rPr>
        <w:t xml:space="preserve"> </w:t>
      </w:r>
      <w:r>
        <w:t xml:space="preserve">(Rama ad loc.). </w:t>
      </w:r>
    </w:p>
    <w:p w14:paraId="5D737D25" w14:textId="77777777" w:rsidR="00D32211" w:rsidRDefault="00D32211" w:rsidP="00D32211">
      <w:pPr>
        <w:bidi w:val="0"/>
        <w:ind w:firstLine="450"/>
        <w:jc w:val="both"/>
      </w:pPr>
      <w:r>
        <w:t xml:space="preserve">There is much discussion on related perplexing matters, including the following. Why, for Sephardim, is there one </w:t>
      </w:r>
      <w:proofErr w:type="spellStart"/>
      <w:r>
        <w:rPr>
          <w:i/>
          <w:iCs/>
        </w:rPr>
        <w:t>beracha</w:t>
      </w:r>
      <w:proofErr w:type="spellEnd"/>
      <w:r>
        <w:t xml:space="preserve"> for two </w:t>
      </w:r>
      <w:r>
        <w:rPr>
          <w:i/>
          <w:iCs/>
        </w:rPr>
        <w:t>mitzvot</w:t>
      </w:r>
      <w:r>
        <w:t xml:space="preserve"> (</w:t>
      </w:r>
      <w:proofErr w:type="spellStart"/>
      <w:r>
        <w:rPr>
          <w:i/>
          <w:iCs/>
        </w:rPr>
        <w:t>shel</w:t>
      </w:r>
      <w:proofErr w:type="spellEnd"/>
      <w:r>
        <w:rPr>
          <w:i/>
          <w:iCs/>
        </w:rPr>
        <w:t xml:space="preserve"> yad </w:t>
      </w:r>
      <w:r>
        <w:t xml:space="preserve">and </w:t>
      </w:r>
      <w:proofErr w:type="spellStart"/>
      <w:r>
        <w:rPr>
          <w:i/>
          <w:iCs/>
        </w:rPr>
        <w:t>shel</w:t>
      </w:r>
      <w:proofErr w:type="spellEnd"/>
      <w:r>
        <w:rPr>
          <w:i/>
          <w:iCs/>
        </w:rPr>
        <w:t xml:space="preserve"> </w:t>
      </w:r>
      <w:proofErr w:type="spellStart"/>
      <w:r>
        <w:rPr>
          <w:i/>
          <w:iCs/>
        </w:rPr>
        <w:t>rosh</w:t>
      </w:r>
      <w:proofErr w:type="spellEnd"/>
      <w:r>
        <w:rPr>
          <w:i/>
          <w:iCs/>
        </w:rPr>
        <w:t xml:space="preserve"> </w:t>
      </w:r>
      <w:r>
        <w:t xml:space="preserve">– see Rambam’s </w:t>
      </w:r>
      <w:proofErr w:type="spellStart"/>
      <w:r>
        <w:t>Sefer</w:t>
      </w:r>
      <w:proofErr w:type="spellEnd"/>
      <w:r>
        <w:t xml:space="preserve"> </w:t>
      </w:r>
      <w:proofErr w:type="spellStart"/>
      <w:r>
        <w:t>Hamitzvot</w:t>
      </w:r>
      <w:proofErr w:type="spellEnd"/>
      <w:r>
        <w:t xml:space="preserve">, </w:t>
      </w:r>
      <w:proofErr w:type="spellStart"/>
      <w:r>
        <w:rPr>
          <w:i/>
          <w:iCs/>
        </w:rPr>
        <w:t>Aseh</w:t>
      </w:r>
      <w:proofErr w:type="spellEnd"/>
      <w:r>
        <w:rPr>
          <w:i/>
          <w:iCs/>
        </w:rPr>
        <w:t xml:space="preserve"> </w:t>
      </w:r>
      <w:r>
        <w:t xml:space="preserve">12-13)? A major approach (see </w:t>
      </w:r>
      <w:proofErr w:type="spellStart"/>
      <w:r>
        <w:t>Mahari</w:t>
      </w:r>
      <w:proofErr w:type="spellEnd"/>
      <w:r>
        <w:t xml:space="preserve"> Halevi in Taz, OC 25:6) is that while there are two </w:t>
      </w:r>
      <w:r>
        <w:rPr>
          <w:i/>
          <w:iCs/>
        </w:rPr>
        <w:t>mitzvot</w:t>
      </w:r>
      <w:r>
        <w:t>, they are very similar and also intrinsically designed to be connected.</w:t>
      </w:r>
      <w:r>
        <w:rPr>
          <w:i/>
          <w:iCs/>
        </w:rPr>
        <w:t xml:space="preserve"> </w:t>
      </w:r>
      <w:r>
        <w:t xml:space="preserve">Why, for </w:t>
      </w:r>
      <w:r w:rsidRPr="00DD5942">
        <w:t>Ashkenazim</w:t>
      </w:r>
      <w:r>
        <w:t xml:space="preserve">, can there be (if one speaks) two </w:t>
      </w:r>
      <w:proofErr w:type="spellStart"/>
      <w:r>
        <w:rPr>
          <w:i/>
          <w:iCs/>
        </w:rPr>
        <w:t>berachot</w:t>
      </w:r>
      <w:proofErr w:type="spellEnd"/>
      <w:r>
        <w:t xml:space="preserve"> for the </w:t>
      </w:r>
      <w:proofErr w:type="spellStart"/>
      <w:r>
        <w:rPr>
          <w:i/>
          <w:iCs/>
        </w:rPr>
        <w:t>shel</w:t>
      </w:r>
      <w:proofErr w:type="spellEnd"/>
      <w:r>
        <w:rPr>
          <w:i/>
          <w:iCs/>
        </w:rPr>
        <w:t xml:space="preserve"> </w:t>
      </w:r>
      <w:proofErr w:type="spellStart"/>
      <w:r>
        <w:rPr>
          <w:i/>
          <w:iCs/>
        </w:rPr>
        <w:t>rosh</w:t>
      </w:r>
      <w:proofErr w:type="spellEnd"/>
      <w:r>
        <w:t xml:space="preserve">? There are different positions as to why there are two different </w:t>
      </w:r>
      <w:proofErr w:type="spellStart"/>
      <w:r>
        <w:rPr>
          <w:i/>
          <w:iCs/>
        </w:rPr>
        <w:t>berachot</w:t>
      </w:r>
      <w:proofErr w:type="spellEnd"/>
      <w:r>
        <w:t xml:space="preserve"> for the </w:t>
      </w:r>
      <w:proofErr w:type="spellStart"/>
      <w:r>
        <w:rPr>
          <w:i/>
          <w:iCs/>
        </w:rPr>
        <w:t>shel</w:t>
      </w:r>
      <w:proofErr w:type="spellEnd"/>
      <w:r>
        <w:rPr>
          <w:i/>
          <w:iCs/>
        </w:rPr>
        <w:t xml:space="preserve"> yad</w:t>
      </w:r>
      <w:r>
        <w:t xml:space="preserve">. </w:t>
      </w:r>
      <w:proofErr w:type="spellStart"/>
      <w:r>
        <w:t>Tosafot</w:t>
      </w:r>
      <w:proofErr w:type="spellEnd"/>
      <w:r>
        <w:t xml:space="preserve"> (</w:t>
      </w:r>
      <w:proofErr w:type="spellStart"/>
      <w:r>
        <w:t>Berachot</w:t>
      </w:r>
      <w:proofErr w:type="spellEnd"/>
      <w:r>
        <w:t xml:space="preserve"> 60b) says that </w:t>
      </w:r>
      <w:r>
        <w:rPr>
          <w:i/>
          <w:iCs/>
        </w:rPr>
        <w:t xml:space="preserve">LT </w:t>
      </w:r>
      <w:r>
        <w:t xml:space="preserve">is formulated as a </w:t>
      </w:r>
      <w:proofErr w:type="spellStart"/>
      <w:r>
        <w:rPr>
          <w:i/>
          <w:iCs/>
        </w:rPr>
        <w:t>beracha</w:t>
      </w:r>
      <w:proofErr w:type="spellEnd"/>
      <w:r>
        <w:t xml:space="preserve"> for the beginning of the process of putting on </w:t>
      </w:r>
      <w:r>
        <w:rPr>
          <w:i/>
          <w:iCs/>
        </w:rPr>
        <w:t>tefillin</w:t>
      </w:r>
      <w:r>
        <w:t xml:space="preserve"> and </w:t>
      </w:r>
      <w:r>
        <w:rPr>
          <w:i/>
          <w:iCs/>
        </w:rPr>
        <w:t xml:space="preserve">AMT </w:t>
      </w:r>
      <w:r>
        <w:t xml:space="preserve">is for the end of the process. </w:t>
      </w:r>
      <w:proofErr w:type="spellStart"/>
      <w:r>
        <w:t>Mahari</w:t>
      </w:r>
      <w:proofErr w:type="spellEnd"/>
      <w:r>
        <w:t xml:space="preserve"> Halevi (ibid.; see earlier sources in Rosh, Tefillin 15) explains how each </w:t>
      </w:r>
      <w:r>
        <w:rPr>
          <w:i/>
          <w:iCs/>
        </w:rPr>
        <w:t xml:space="preserve">tefillin </w:t>
      </w:r>
      <w:r>
        <w:t xml:space="preserve">require both </w:t>
      </w:r>
      <w:proofErr w:type="spellStart"/>
      <w:r>
        <w:rPr>
          <w:i/>
          <w:iCs/>
        </w:rPr>
        <w:t>berachot</w:t>
      </w:r>
      <w:proofErr w:type="spellEnd"/>
      <w:r>
        <w:t xml:space="preserve">, with each adding a different element (see also </w:t>
      </w:r>
      <w:proofErr w:type="spellStart"/>
      <w:r>
        <w:t>Aruch</w:t>
      </w:r>
      <w:proofErr w:type="spellEnd"/>
      <w:r>
        <w:t xml:space="preserve"> </w:t>
      </w:r>
      <w:proofErr w:type="spellStart"/>
      <w:r>
        <w:t>Hashulchan</w:t>
      </w:r>
      <w:proofErr w:type="spellEnd"/>
      <w:r>
        <w:t xml:space="preserve">, OC 25:10), but they were instituted in a way that normally </w:t>
      </w:r>
      <w:r>
        <w:rPr>
          <w:i/>
          <w:iCs/>
        </w:rPr>
        <w:t xml:space="preserve">LT </w:t>
      </w:r>
      <w:r>
        <w:t xml:space="preserve">“extends forward” and </w:t>
      </w:r>
      <w:r>
        <w:rPr>
          <w:i/>
          <w:iCs/>
        </w:rPr>
        <w:t xml:space="preserve">AMT </w:t>
      </w:r>
      <w:r>
        <w:t xml:space="preserve">“stretches backward.” </w:t>
      </w:r>
    </w:p>
    <w:p w14:paraId="3294CF2E" w14:textId="77777777" w:rsidR="00D32211" w:rsidRDefault="00D32211" w:rsidP="00D32211">
      <w:pPr>
        <w:bidi w:val="0"/>
        <w:ind w:firstLine="450"/>
        <w:jc w:val="both"/>
      </w:pPr>
      <w:r>
        <w:t xml:space="preserve">After this small glimpse at the fundamental analysis of the </w:t>
      </w:r>
      <w:proofErr w:type="spellStart"/>
      <w:r>
        <w:rPr>
          <w:i/>
          <w:iCs/>
        </w:rPr>
        <w:t>berachot</w:t>
      </w:r>
      <w:proofErr w:type="spellEnd"/>
      <w:r>
        <w:t>,</w:t>
      </w:r>
      <w:r>
        <w:rPr>
          <w:i/>
          <w:iCs/>
        </w:rPr>
        <w:t xml:space="preserve"> </w:t>
      </w:r>
      <w:r>
        <w:t xml:space="preserve">we approach sources on our case – when one recited </w:t>
      </w:r>
      <w:r>
        <w:rPr>
          <w:i/>
          <w:iCs/>
        </w:rPr>
        <w:t xml:space="preserve">AMT </w:t>
      </w:r>
      <w:r>
        <w:t xml:space="preserve">on the </w:t>
      </w:r>
      <w:proofErr w:type="spellStart"/>
      <w:r>
        <w:rPr>
          <w:i/>
          <w:iCs/>
        </w:rPr>
        <w:t>shel</w:t>
      </w:r>
      <w:proofErr w:type="spellEnd"/>
      <w:r>
        <w:rPr>
          <w:i/>
          <w:iCs/>
        </w:rPr>
        <w:t xml:space="preserve"> yad</w:t>
      </w:r>
      <w:r>
        <w:t xml:space="preserve">. Most </w:t>
      </w:r>
      <w:proofErr w:type="spellStart"/>
      <w:r>
        <w:rPr>
          <w:i/>
          <w:iCs/>
        </w:rPr>
        <w:t>poskim</w:t>
      </w:r>
      <w:proofErr w:type="spellEnd"/>
      <w:r>
        <w:t xml:space="preserve"> (see </w:t>
      </w:r>
      <w:proofErr w:type="spellStart"/>
      <w:r>
        <w:t>Machazik</w:t>
      </w:r>
      <w:proofErr w:type="spellEnd"/>
      <w:r>
        <w:t xml:space="preserve"> </w:t>
      </w:r>
      <w:proofErr w:type="spellStart"/>
      <w:r>
        <w:t>Beracha</w:t>
      </w:r>
      <w:proofErr w:type="spellEnd"/>
      <w:r>
        <w:t xml:space="preserve"> 25:7) assume that </w:t>
      </w:r>
      <w:r>
        <w:rPr>
          <w:i/>
          <w:iCs/>
        </w:rPr>
        <w:t xml:space="preserve">AMT </w:t>
      </w:r>
      <w:r>
        <w:t xml:space="preserve">works </w:t>
      </w:r>
      <w:proofErr w:type="spellStart"/>
      <w:r>
        <w:rPr>
          <w:i/>
          <w:iCs/>
        </w:rPr>
        <w:t>b’di’eved</w:t>
      </w:r>
      <w:proofErr w:type="spellEnd"/>
      <w:r>
        <w:t xml:space="preserve"> for </w:t>
      </w:r>
      <w:r w:rsidRPr="00DD5942">
        <w:t>Sephardim</w:t>
      </w:r>
      <w:r>
        <w:t xml:space="preserve"> as the single </w:t>
      </w:r>
      <w:proofErr w:type="spellStart"/>
      <w:r>
        <w:rPr>
          <w:i/>
          <w:iCs/>
        </w:rPr>
        <w:t>beracha</w:t>
      </w:r>
      <w:proofErr w:type="spellEnd"/>
      <w:r>
        <w:t xml:space="preserve">. Certainly, according to the </w:t>
      </w:r>
      <w:proofErr w:type="spellStart"/>
      <w:r>
        <w:t>Mahari</w:t>
      </w:r>
      <w:proofErr w:type="spellEnd"/>
      <w:r>
        <w:t xml:space="preserve"> Halevi (but likely even for others), </w:t>
      </w:r>
      <w:r>
        <w:rPr>
          <w:i/>
          <w:iCs/>
        </w:rPr>
        <w:t xml:space="preserve">AMT </w:t>
      </w:r>
      <w:r>
        <w:t xml:space="preserve">takes effect if said while putting on the </w:t>
      </w:r>
      <w:proofErr w:type="spellStart"/>
      <w:r>
        <w:rPr>
          <w:i/>
          <w:iCs/>
        </w:rPr>
        <w:t>shel</w:t>
      </w:r>
      <w:proofErr w:type="spellEnd"/>
      <w:r>
        <w:rPr>
          <w:i/>
          <w:iCs/>
        </w:rPr>
        <w:t xml:space="preserve"> yad</w:t>
      </w:r>
      <w:r>
        <w:t xml:space="preserve"> as well. Despite this, if one catches the mistake before fastening the </w:t>
      </w:r>
      <w:proofErr w:type="spellStart"/>
      <w:r>
        <w:rPr>
          <w:i/>
          <w:iCs/>
        </w:rPr>
        <w:t>shel</w:t>
      </w:r>
      <w:proofErr w:type="spellEnd"/>
      <w:r>
        <w:rPr>
          <w:i/>
          <w:iCs/>
        </w:rPr>
        <w:t xml:space="preserve"> yad</w:t>
      </w:r>
      <w:r>
        <w:t xml:space="preserve">, it is best to recite </w:t>
      </w:r>
      <w:r w:rsidRPr="008B0C70">
        <w:rPr>
          <w:i/>
          <w:iCs/>
        </w:rPr>
        <w:t>L</w:t>
      </w:r>
      <w:r>
        <w:rPr>
          <w:i/>
          <w:iCs/>
        </w:rPr>
        <w:t>T</w:t>
      </w:r>
      <w:r>
        <w:t xml:space="preserve"> before fastening it so that </w:t>
      </w:r>
      <w:proofErr w:type="spellStart"/>
      <w:r>
        <w:rPr>
          <w:i/>
          <w:iCs/>
        </w:rPr>
        <w:t>beracha</w:t>
      </w:r>
      <w:proofErr w:type="spellEnd"/>
      <w:r>
        <w:t xml:space="preserve"> is said at its right time (</w:t>
      </w:r>
      <w:proofErr w:type="spellStart"/>
      <w:r>
        <w:t>Michtam</w:t>
      </w:r>
      <w:proofErr w:type="spellEnd"/>
      <w:r>
        <w:t xml:space="preserve"> </w:t>
      </w:r>
      <w:proofErr w:type="spellStart"/>
      <w:r>
        <w:t>L’David</w:t>
      </w:r>
      <w:proofErr w:type="spellEnd"/>
      <w:r>
        <w:t xml:space="preserve">, OC 12). Rav Shabtai Ventura (cited ibid. 11) assumes that when one thought he was making his first </w:t>
      </w:r>
      <w:proofErr w:type="spellStart"/>
      <w:r w:rsidRPr="007D1606">
        <w:rPr>
          <w:i/>
          <w:iCs/>
        </w:rPr>
        <w:t>beracha</w:t>
      </w:r>
      <w:proofErr w:type="spellEnd"/>
      <w:r w:rsidRPr="007D1606">
        <w:t xml:space="preserve"> on</w:t>
      </w:r>
      <w:r>
        <w:t xml:space="preserve"> the </w:t>
      </w:r>
      <w:proofErr w:type="spellStart"/>
      <w:r>
        <w:rPr>
          <w:i/>
          <w:iCs/>
        </w:rPr>
        <w:t>shel</w:t>
      </w:r>
      <w:proofErr w:type="spellEnd"/>
      <w:r>
        <w:rPr>
          <w:i/>
          <w:iCs/>
        </w:rPr>
        <w:t xml:space="preserve"> yad</w:t>
      </w:r>
      <w:r>
        <w:t xml:space="preserve">, it does not work for the </w:t>
      </w:r>
      <w:proofErr w:type="spellStart"/>
      <w:r>
        <w:rPr>
          <w:i/>
          <w:iCs/>
        </w:rPr>
        <w:t>shel</w:t>
      </w:r>
      <w:proofErr w:type="spellEnd"/>
      <w:r>
        <w:rPr>
          <w:i/>
          <w:iCs/>
        </w:rPr>
        <w:t xml:space="preserve"> </w:t>
      </w:r>
      <w:proofErr w:type="spellStart"/>
      <w:r>
        <w:rPr>
          <w:i/>
          <w:iCs/>
        </w:rPr>
        <w:t>rosh</w:t>
      </w:r>
      <w:proofErr w:type="spellEnd"/>
      <w:r>
        <w:t xml:space="preserve">, which makes it necessary to make both </w:t>
      </w:r>
      <w:proofErr w:type="spellStart"/>
      <w:r>
        <w:rPr>
          <w:i/>
          <w:iCs/>
        </w:rPr>
        <w:t>berachot</w:t>
      </w:r>
      <w:proofErr w:type="spellEnd"/>
      <w:r>
        <w:t xml:space="preserve"> on the </w:t>
      </w:r>
      <w:proofErr w:type="spellStart"/>
      <w:r>
        <w:rPr>
          <w:i/>
          <w:iCs/>
        </w:rPr>
        <w:t>shel</w:t>
      </w:r>
      <w:proofErr w:type="spellEnd"/>
      <w:r>
        <w:rPr>
          <w:i/>
          <w:iCs/>
        </w:rPr>
        <w:t xml:space="preserve"> </w:t>
      </w:r>
      <w:proofErr w:type="spellStart"/>
      <w:r>
        <w:rPr>
          <w:i/>
          <w:iCs/>
        </w:rPr>
        <w:t>rosh</w:t>
      </w:r>
      <w:proofErr w:type="spellEnd"/>
      <w:r>
        <w:t xml:space="preserve"> – </w:t>
      </w:r>
      <w:r>
        <w:rPr>
          <w:i/>
          <w:iCs/>
        </w:rPr>
        <w:t xml:space="preserve">LT </w:t>
      </w:r>
      <w:r>
        <w:t xml:space="preserve">because it was not done yet and </w:t>
      </w:r>
      <w:r>
        <w:rPr>
          <w:i/>
          <w:iCs/>
        </w:rPr>
        <w:t xml:space="preserve">AMT </w:t>
      </w:r>
      <w:r>
        <w:t xml:space="preserve">because he lacked intent for the </w:t>
      </w:r>
      <w:proofErr w:type="spellStart"/>
      <w:r>
        <w:rPr>
          <w:i/>
          <w:iCs/>
        </w:rPr>
        <w:t>shel</w:t>
      </w:r>
      <w:proofErr w:type="spellEnd"/>
      <w:r>
        <w:rPr>
          <w:i/>
          <w:iCs/>
        </w:rPr>
        <w:t xml:space="preserve"> </w:t>
      </w:r>
      <w:proofErr w:type="spellStart"/>
      <w:r>
        <w:rPr>
          <w:i/>
          <w:iCs/>
        </w:rPr>
        <w:t>rosh</w:t>
      </w:r>
      <w:proofErr w:type="spellEnd"/>
      <w:r>
        <w:t xml:space="preserve">. </w:t>
      </w:r>
      <w:proofErr w:type="spellStart"/>
      <w:r>
        <w:t>Michtam</w:t>
      </w:r>
      <w:proofErr w:type="spellEnd"/>
      <w:r>
        <w:t xml:space="preserve"> </w:t>
      </w:r>
      <w:proofErr w:type="spellStart"/>
      <w:r>
        <w:t>L’David</w:t>
      </w:r>
      <w:proofErr w:type="spellEnd"/>
      <w:r>
        <w:t xml:space="preserve"> argues forcefully because we assume that both </w:t>
      </w:r>
      <w:proofErr w:type="spellStart"/>
      <w:r>
        <w:rPr>
          <w:i/>
          <w:iCs/>
        </w:rPr>
        <w:t>berachot</w:t>
      </w:r>
      <w:proofErr w:type="spellEnd"/>
      <w:r>
        <w:t xml:space="preserve"> relate and work for both </w:t>
      </w:r>
      <w:r>
        <w:rPr>
          <w:i/>
          <w:iCs/>
        </w:rPr>
        <w:t>tefillin</w:t>
      </w:r>
      <w:r>
        <w:t xml:space="preserve">. Therefore, he says that in our case one only recites </w:t>
      </w:r>
      <w:r>
        <w:rPr>
          <w:i/>
          <w:iCs/>
        </w:rPr>
        <w:t xml:space="preserve">LT </w:t>
      </w:r>
      <w:r>
        <w:t xml:space="preserve">on the </w:t>
      </w:r>
      <w:proofErr w:type="spellStart"/>
      <w:r>
        <w:rPr>
          <w:i/>
          <w:iCs/>
        </w:rPr>
        <w:t>shel</w:t>
      </w:r>
      <w:proofErr w:type="spellEnd"/>
      <w:r>
        <w:rPr>
          <w:i/>
          <w:iCs/>
        </w:rPr>
        <w:t xml:space="preserve"> </w:t>
      </w:r>
      <w:proofErr w:type="spellStart"/>
      <w:r>
        <w:rPr>
          <w:i/>
          <w:iCs/>
        </w:rPr>
        <w:t>rosh</w:t>
      </w:r>
      <w:proofErr w:type="spellEnd"/>
      <w:r>
        <w:t>.</w:t>
      </w:r>
      <w:r>
        <w:rPr>
          <w:i/>
          <w:iCs/>
        </w:rPr>
        <w:t xml:space="preserve"> </w:t>
      </w:r>
      <w:r>
        <w:t xml:space="preserve">The </w:t>
      </w:r>
      <w:proofErr w:type="spellStart"/>
      <w:r>
        <w:t>Michtam</w:t>
      </w:r>
      <w:proofErr w:type="spellEnd"/>
      <w:r>
        <w:t xml:space="preserve"> </w:t>
      </w:r>
      <w:proofErr w:type="spellStart"/>
      <w:r>
        <w:t>L’David</w:t>
      </w:r>
      <w:proofErr w:type="spellEnd"/>
      <w:r>
        <w:t xml:space="preserve"> is accepted by the </w:t>
      </w:r>
      <w:proofErr w:type="spellStart"/>
      <w:r>
        <w:t>Sha’arei</w:t>
      </w:r>
      <w:proofErr w:type="spellEnd"/>
      <w:r>
        <w:t xml:space="preserve"> Teshuva (25:5), Chida (</w:t>
      </w:r>
      <w:proofErr w:type="spellStart"/>
      <w:r>
        <w:t>Machazik</w:t>
      </w:r>
      <w:proofErr w:type="spellEnd"/>
      <w:r>
        <w:t xml:space="preserve"> </w:t>
      </w:r>
      <w:proofErr w:type="spellStart"/>
      <w:r>
        <w:t>Beracha</w:t>
      </w:r>
      <w:proofErr w:type="spellEnd"/>
      <w:r>
        <w:t xml:space="preserve"> ibid.), and the </w:t>
      </w:r>
      <w:proofErr w:type="spellStart"/>
      <w:r>
        <w:t>Malbim</w:t>
      </w:r>
      <w:proofErr w:type="spellEnd"/>
      <w:r>
        <w:t xml:space="preserve"> (</w:t>
      </w:r>
      <w:proofErr w:type="spellStart"/>
      <w:r>
        <w:t>Artzot</w:t>
      </w:r>
      <w:proofErr w:type="spellEnd"/>
      <w:r>
        <w:t xml:space="preserve"> </w:t>
      </w:r>
      <w:proofErr w:type="spellStart"/>
      <w:r>
        <w:t>Hachayim</w:t>
      </w:r>
      <w:proofErr w:type="spellEnd"/>
      <w:r>
        <w:t xml:space="preserve"> 25:5). </w:t>
      </w:r>
    </w:p>
    <w:p w14:paraId="11DCF048" w14:textId="77777777" w:rsidR="00D32211" w:rsidRDefault="00D32211" w:rsidP="00D32211">
      <w:pPr>
        <w:bidi w:val="0"/>
        <w:ind w:firstLine="450"/>
        <w:jc w:val="both"/>
      </w:pPr>
      <w:r>
        <w:t xml:space="preserve">The </w:t>
      </w:r>
      <w:proofErr w:type="spellStart"/>
      <w:r>
        <w:t>Michtam</w:t>
      </w:r>
      <w:proofErr w:type="spellEnd"/>
      <w:r>
        <w:t xml:space="preserve"> </w:t>
      </w:r>
      <w:proofErr w:type="spellStart"/>
      <w:r>
        <w:t>L’David</w:t>
      </w:r>
      <w:proofErr w:type="spellEnd"/>
      <w:r>
        <w:t xml:space="preserve"> includes a </w:t>
      </w:r>
      <w:proofErr w:type="spellStart"/>
      <w:r>
        <w:rPr>
          <w:i/>
          <w:iCs/>
        </w:rPr>
        <w:t>chiddush</w:t>
      </w:r>
      <w:proofErr w:type="spellEnd"/>
      <w:r>
        <w:t xml:space="preserve">. We have already seen why not to repeat </w:t>
      </w:r>
      <w:r>
        <w:rPr>
          <w:i/>
          <w:iCs/>
        </w:rPr>
        <w:t>AMT</w:t>
      </w:r>
      <w:r>
        <w:t xml:space="preserve">, namely, because it already took effect and counts for the </w:t>
      </w:r>
      <w:proofErr w:type="spellStart"/>
      <w:r>
        <w:rPr>
          <w:i/>
          <w:iCs/>
        </w:rPr>
        <w:t>shel</w:t>
      </w:r>
      <w:proofErr w:type="spellEnd"/>
      <w:r>
        <w:rPr>
          <w:i/>
          <w:iCs/>
        </w:rPr>
        <w:t xml:space="preserve"> </w:t>
      </w:r>
      <w:proofErr w:type="spellStart"/>
      <w:r>
        <w:rPr>
          <w:i/>
          <w:iCs/>
        </w:rPr>
        <w:t>rosh</w:t>
      </w:r>
      <w:proofErr w:type="spellEnd"/>
      <w:r>
        <w:t xml:space="preserve"> as well. One could have said, then, that there is no need to say </w:t>
      </w:r>
      <w:r>
        <w:rPr>
          <w:i/>
          <w:iCs/>
        </w:rPr>
        <w:t xml:space="preserve">LT </w:t>
      </w:r>
      <w:r>
        <w:t xml:space="preserve">for the </w:t>
      </w:r>
      <w:proofErr w:type="spellStart"/>
      <w:r>
        <w:rPr>
          <w:i/>
          <w:iCs/>
        </w:rPr>
        <w:t>shel</w:t>
      </w:r>
      <w:proofErr w:type="spellEnd"/>
      <w:r>
        <w:rPr>
          <w:i/>
          <w:iCs/>
        </w:rPr>
        <w:t xml:space="preserve"> </w:t>
      </w:r>
      <w:proofErr w:type="spellStart"/>
      <w:r>
        <w:rPr>
          <w:i/>
          <w:iCs/>
        </w:rPr>
        <w:t>rosh</w:t>
      </w:r>
      <w:proofErr w:type="spellEnd"/>
      <w:r>
        <w:t xml:space="preserve">, as the </w:t>
      </w:r>
      <w:proofErr w:type="spellStart"/>
      <w:r>
        <w:rPr>
          <w:i/>
          <w:iCs/>
        </w:rPr>
        <w:t>shel</w:t>
      </w:r>
      <w:proofErr w:type="spellEnd"/>
      <w:r>
        <w:rPr>
          <w:i/>
          <w:iCs/>
        </w:rPr>
        <w:t xml:space="preserve"> </w:t>
      </w:r>
      <w:proofErr w:type="spellStart"/>
      <w:r>
        <w:rPr>
          <w:i/>
          <w:iCs/>
        </w:rPr>
        <w:t>rosh</w:t>
      </w:r>
      <w:proofErr w:type="spellEnd"/>
      <w:r>
        <w:t xml:space="preserve"> already has a </w:t>
      </w:r>
      <w:proofErr w:type="spellStart"/>
      <w:r>
        <w:rPr>
          <w:i/>
          <w:iCs/>
        </w:rPr>
        <w:t>beracha</w:t>
      </w:r>
      <w:proofErr w:type="spellEnd"/>
      <w:r>
        <w:t xml:space="preserve"> so why recite an</w:t>
      </w:r>
      <w:r w:rsidRPr="00FD29D1">
        <w:t xml:space="preserve"> </w:t>
      </w:r>
      <w:r>
        <w:t xml:space="preserve">additional, less than fully appropriate, </w:t>
      </w:r>
      <w:proofErr w:type="spellStart"/>
      <w:r>
        <w:rPr>
          <w:i/>
          <w:iCs/>
        </w:rPr>
        <w:t>beracha</w:t>
      </w:r>
      <w:proofErr w:type="spellEnd"/>
      <w:r>
        <w:t xml:space="preserve">? However, the </w:t>
      </w:r>
      <w:proofErr w:type="spellStart"/>
      <w:r>
        <w:t>Michtam</w:t>
      </w:r>
      <w:proofErr w:type="spellEnd"/>
      <w:r>
        <w:t xml:space="preserve"> </w:t>
      </w:r>
      <w:proofErr w:type="spellStart"/>
      <w:r>
        <w:t>L’David</w:t>
      </w:r>
      <w:proofErr w:type="spellEnd"/>
      <w:r>
        <w:t xml:space="preserve"> is supported by the </w:t>
      </w:r>
      <w:proofErr w:type="spellStart"/>
      <w:r>
        <w:rPr>
          <w:i/>
          <w:iCs/>
        </w:rPr>
        <w:t>halachot</w:t>
      </w:r>
      <w:proofErr w:type="spellEnd"/>
      <w:r>
        <w:t xml:space="preserve"> that one who spoke between the </w:t>
      </w:r>
      <w:proofErr w:type="spellStart"/>
      <w:r>
        <w:rPr>
          <w:i/>
          <w:iCs/>
        </w:rPr>
        <w:t>shel</w:t>
      </w:r>
      <w:proofErr w:type="spellEnd"/>
      <w:r>
        <w:rPr>
          <w:i/>
          <w:iCs/>
        </w:rPr>
        <w:t xml:space="preserve"> yad</w:t>
      </w:r>
      <w:r>
        <w:t xml:space="preserve"> and </w:t>
      </w:r>
      <w:proofErr w:type="spellStart"/>
      <w:r>
        <w:rPr>
          <w:i/>
          <w:iCs/>
        </w:rPr>
        <w:t>shel</w:t>
      </w:r>
      <w:proofErr w:type="spellEnd"/>
      <w:r>
        <w:rPr>
          <w:i/>
          <w:iCs/>
        </w:rPr>
        <w:t xml:space="preserve"> </w:t>
      </w:r>
      <w:proofErr w:type="spellStart"/>
      <w:r>
        <w:rPr>
          <w:i/>
          <w:iCs/>
        </w:rPr>
        <w:t>rosh</w:t>
      </w:r>
      <w:proofErr w:type="spellEnd"/>
      <w:r>
        <w:t xml:space="preserve"> repeats </w:t>
      </w:r>
      <w:r>
        <w:rPr>
          <w:i/>
          <w:iCs/>
        </w:rPr>
        <w:t xml:space="preserve">LT </w:t>
      </w:r>
      <w:r>
        <w:t xml:space="preserve">(Rama, OC 25:9) and that one who has only </w:t>
      </w:r>
      <w:r>
        <w:rPr>
          <w:i/>
          <w:iCs/>
        </w:rPr>
        <w:t xml:space="preserve">tefillin </w:t>
      </w:r>
      <w:proofErr w:type="spellStart"/>
      <w:r>
        <w:rPr>
          <w:i/>
          <w:iCs/>
        </w:rPr>
        <w:t>shel</w:t>
      </w:r>
      <w:proofErr w:type="spellEnd"/>
      <w:r>
        <w:rPr>
          <w:i/>
          <w:iCs/>
        </w:rPr>
        <w:t xml:space="preserve"> </w:t>
      </w:r>
      <w:proofErr w:type="spellStart"/>
      <w:r>
        <w:rPr>
          <w:i/>
          <w:iCs/>
        </w:rPr>
        <w:t>rosh</w:t>
      </w:r>
      <w:proofErr w:type="spellEnd"/>
      <w:r>
        <w:t xml:space="preserve"> makes both </w:t>
      </w:r>
      <w:proofErr w:type="spellStart"/>
      <w:r>
        <w:rPr>
          <w:i/>
          <w:iCs/>
        </w:rPr>
        <w:t>berachot</w:t>
      </w:r>
      <w:proofErr w:type="spellEnd"/>
      <w:r>
        <w:rPr>
          <w:i/>
          <w:iCs/>
        </w:rPr>
        <w:t xml:space="preserve"> </w:t>
      </w:r>
      <w:r>
        <w:t>(ibid. 26:2). (One might be able to deflect these proofs, but that is beyond our present scope.)</w:t>
      </w:r>
    </w:p>
    <w:p w14:paraId="63FAA217" w14:textId="77777777" w:rsidR="00D32211" w:rsidRPr="000C2EB3" w:rsidRDefault="00D32211" w:rsidP="00D32211">
      <w:pPr>
        <w:bidi w:val="0"/>
        <w:ind w:firstLine="450"/>
        <w:jc w:val="both"/>
        <w:rPr>
          <w:u w:val="single"/>
        </w:rPr>
      </w:pPr>
      <w:r>
        <w:t xml:space="preserve">In the final analysis, you should have followed the prevalent opinions among the </w:t>
      </w:r>
      <w:proofErr w:type="spellStart"/>
      <w:r>
        <w:rPr>
          <w:i/>
          <w:iCs/>
        </w:rPr>
        <w:t>Acharonim</w:t>
      </w:r>
      <w:proofErr w:type="spellEnd"/>
      <w:r>
        <w:t xml:space="preserve"> and said only </w:t>
      </w:r>
      <w:r>
        <w:rPr>
          <w:i/>
          <w:iCs/>
        </w:rPr>
        <w:t xml:space="preserve">LT </w:t>
      </w:r>
      <w:r>
        <w:t xml:space="preserve">when putting on the </w:t>
      </w:r>
      <w:proofErr w:type="spellStart"/>
      <w:r>
        <w:rPr>
          <w:i/>
          <w:iCs/>
        </w:rPr>
        <w:t>shel</w:t>
      </w:r>
      <w:proofErr w:type="spellEnd"/>
      <w:r>
        <w:rPr>
          <w:i/>
          <w:iCs/>
        </w:rPr>
        <w:t xml:space="preserve"> </w:t>
      </w:r>
      <w:proofErr w:type="spellStart"/>
      <w:r>
        <w:rPr>
          <w:i/>
          <w:iCs/>
        </w:rPr>
        <w:t>rosh</w:t>
      </w:r>
      <w:proofErr w:type="spellEnd"/>
      <w:r>
        <w:t xml:space="preserve">. (Presumably, in deference to those like </w:t>
      </w:r>
      <w:proofErr w:type="spellStart"/>
      <w:r>
        <w:t>Rashi</w:t>
      </w:r>
      <w:proofErr w:type="spellEnd"/>
      <w:r>
        <w:t xml:space="preserve"> who say there is only one </w:t>
      </w:r>
      <w:proofErr w:type="spellStart"/>
      <w:r>
        <w:rPr>
          <w:i/>
          <w:iCs/>
        </w:rPr>
        <w:t>beracha</w:t>
      </w:r>
      <w:proofErr w:type="spellEnd"/>
      <w:r>
        <w:t xml:space="preserve"> on the two </w:t>
      </w:r>
      <w:r>
        <w:rPr>
          <w:i/>
          <w:iCs/>
        </w:rPr>
        <w:t>tefillin</w:t>
      </w:r>
      <w:r>
        <w:t xml:space="preserve">, one should say </w:t>
      </w:r>
      <w:proofErr w:type="spellStart"/>
      <w:r>
        <w:rPr>
          <w:i/>
          <w:iCs/>
        </w:rPr>
        <w:t>baruch</w:t>
      </w:r>
      <w:proofErr w:type="spellEnd"/>
      <w:r>
        <w:rPr>
          <w:i/>
          <w:iCs/>
        </w:rPr>
        <w:t xml:space="preserve"> </w:t>
      </w:r>
      <w:proofErr w:type="spellStart"/>
      <w:r>
        <w:rPr>
          <w:i/>
          <w:iCs/>
        </w:rPr>
        <w:t>shem</w:t>
      </w:r>
      <w:proofErr w:type="spellEnd"/>
      <w:r>
        <w:rPr>
          <w:i/>
          <w:iCs/>
        </w:rPr>
        <w:t xml:space="preserve"> </w:t>
      </w:r>
      <w:proofErr w:type="spellStart"/>
      <w:r>
        <w:rPr>
          <w:i/>
          <w:iCs/>
        </w:rPr>
        <w:t>k’vod</w:t>
      </w:r>
      <w:proofErr w:type="spellEnd"/>
      <w:r>
        <w:rPr>
          <w:i/>
          <w:iCs/>
        </w:rPr>
        <w:t xml:space="preserve"> </w:t>
      </w:r>
      <w:proofErr w:type="spellStart"/>
      <w:r>
        <w:rPr>
          <w:i/>
          <w:iCs/>
        </w:rPr>
        <w:t>malchuto</w:t>
      </w:r>
      <w:proofErr w:type="spellEnd"/>
      <w:r>
        <w:rPr>
          <w:i/>
          <w:iCs/>
        </w:rPr>
        <w:t xml:space="preserve"> …</w:t>
      </w:r>
      <w:r>
        <w:t xml:space="preserve"> after putting on the </w:t>
      </w:r>
      <w:proofErr w:type="spellStart"/>
      <w:r>
        <w:rPr>
          <w:i/>
          <w:iCs/>
        </w:rPr>
        <w:t>shel</w:t>
      </w:r>
      <w:proofErr w:type="spellEnd"/>
      <w:r>
        <w:rPr>
          <w:i/>
          <w:iCs/>
        </w:rPr>
        <w:t xml:space="preserve"> </w:t>
      </w:r>
      <w:proofErr w:type="spellStart"/>
      <w:r>
        <w:rPr>
          <w:i/>
          <w:iCs/>
        </w:rPr>
        <w:t>rosh</w:t>
      </w:r>
      <w:proofErr w:type="spellEnd"/>
      <w:r>
        <w:t xml:space="preserve"> with </w:t>
      </w:r>
      <w:r>
        <w:rPr>
          <w:i/>
          <w:iCs/>
        </w:rPr>
        <w:t xml:space="preserve">LT </w:t>
      </w:r>
      <w:r>
        <w:t xml:space="preserve">– see Rama, OC 25:5.) </w:t>
      </w:r>
    </w:p>
    <w:p w14:paraId="27B5CCF7" w14:textId="77777777" w:rsidR="00A31D51" w:rsidRDefault="00A31D51" w:rsidP="00A31D51">
      <w:pPr>
        <w:bidi w:val="0"/>
        <w:rPr>
          <w:b/>
          <w:bCs/>
          <w:color w:val="0070C0"/>
          <w:sz w:val="24"/>
          <w:szCs w:val="24"/>
        </w:rPr>
      </w:pPr>
    </w:p>
    <w:p w14:paraId="5EE0A53B" w14:textId="77777777" w:rsidR="00D32211" w:rsidRDefault="00D32211" w:rsidP="0025079F">
      <w:pPr>
        <w:bidi w:val="0"/>
        <w:jc w:val="center"/>
        <w:rPr>
          <w:b/>
          <w:bCs/>
          <w:color w:val="0070C0"/>
          <w:sz w:val="24"/>
          <w:szCs w:val="24"/>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30B93F76" w14:textId="77777777" w:rsidR="001D2511" w:rsidRDefault="001D2511" w:rsidP="00C63F78">
      <w:pPr>
        <w:bidi w:val="0"/>
        <w:jc w:val="center"/>
        <w:rPr>
          <w:b/>
          <w:bCs/>
          <w:color w:val="C00000"/>
          <w:sz w:val="22"/>
          <w:szCs w:val="22"/>
        </w:rPr>
      </w:pPr>
    </w:p>
    <w:p w14:paraId="4DC46290" w14:textId="7606327B" w:rsidR="001D2511" w:rsidRPr="0049411C" w:rsidRDefault="00DC3461"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6716210" w14:textId="77777777" w:rsidR="003E32F5" w:rsidRDefault="003E32F5" w:rsidP="003E32F5">
      <w:pPr>
        <w:bidi w:val="0"/>
        <w:contextualSpacing/>
        <w:jc w:val="center"/>
      </w:pPr>
    </w:p>
    <w:p w14:paraId="6164C0C2" w14:textId="77777777" w:rsidR="003E32F5" w:rsidRDefault="003E32F5" w:rsidP="00920ABD">
      <w:pPr>
        <w:bidi w:val="0"/>
        <w:contextualSpacing/>
        <w:rPr>
          <w:noProof/>
        </w:rPr>
      </w:pPr>
    </w:p>
    <w:p w14:paraId="4D8C81B5" w14:textId="77777777" w:rsidR="003E32F5" w:rsidRDefault="003E32F5" w:rsidP="003E32F5">
      <w:pPr>
        <w:bidi w:val="0"/>
        <w:contextualSpacing/>
        <w:rPr>
          <w:noProof/>
        </w:rPr>
      </w:pPr>
    </w:p>
    <w:p w14:paraId="465E092F" w14:textId="77777777" w:rsidR="003E32F5" w:rsidRDefault="003E32F5" w:rsidP="003E32F5">
      <w:pPr>
        <w:bidi w:val="0"/>
        <w:contextualSpacing/>
        <w:rPr>
          <w:noProof/>
        </w:rP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5ED5A3E2" w14:textId="77777777" w:rsidR="000A62A9" w:rsidRDefault="000A62A9" w:rsidP="00D9393A">
      <w:pPr>
        <w:bidi w:val="0"/>
        <w:contextualSpacing/>
      </w:pPr>
    </w:p>
    <w:p w14:paraId="44FCFC34" w14:textId="77777777" w:rsidR="00F559C4" w:rsidRDefault="00F559C4" w:rsidP="00F559C4">
      <w:pPr>
        <w:bidi w:val="0"/>
        <w:rPr>
          <w:b/>
          <w:bCs/>
          <w:color w:val="D85640"/>
          <w:sz w:val="24"/>
          <w:szCs w:val="24"/>
          <w:u w:val="single"/>
        </w:rPr>
      </w:pPr>
    </w:p>
    <w:p w14:paraId="3C6E35E4" w14:textId="77777777" w:rsidR="003D5B2D" w:rsidRPr="00552764" w:rsidRDefault="003D5B2D" w:rsidP="003D5B2D">
      <w:pPr>
        <w:bidi w:val="0"/>
        <w:rPr>
          <w:b/>
          <w:bCs/>
          <w:color w:val="D85640"/>
          <w:sz w:val="28"/>
          <w:szCs w:val="28"/>
        </w:rPr>
      </w:pPr>
      <w:r>
        <w:rPr>
          <w:b/>
          <w:bCs/>
          <w:color w:val="D85640"/>
          <w:sz w:val="28"/>
          <w:szCs w:val="28"/>
        </w:rPr>
        <w:t xml:space="preserve">Possibilities of Creating Religious </w:t>
      </w:r>
      <w:proofErr w:type="spellStart"/>
      <w:r>
        <w:rPr>
          <w:b/>
          <w:bCs/>
          <w:i/>
          <w:iCs/>
          <w:color w:val="D85640"/>
          <w:sz w:val="28"/>
          <w:szCs w:val="28"/>
        </w:rPr>
        <w:t>Moshavot</w:t>
      </w:r>
      <w:proofErr w:type="spellEnd"/>
      <w:r>
        <w:rPr>
          <w:b/>
          <w:bCs/>
          <w:color w:val="D85640"/>
          <w:sz w:val="28"/>
          <w:szCs w:val="28"/>
        </w:rPr>
        <w:t xml:space="preserve"> – #284 – part I </w:t>
      </w:r>
    </w:p>
    <w:p w14:paraId="6B1646DD" w14:textId="77777777" w:rsidR="003D5B2D" w:rsidRDefault="003D5B2D" w:rsidP="003D5B2D">
      <w:pPr>
        <w:bidi w:val="0"/>
        <w:rPr>
          <w:b/>
          <w:bCs/>
          <w:color w:val="D85640"/>
          <w:sz w:val="24"/>
          <w:szCs w:val="24"/>
          <w:u w:val="single"/>
        </w:rPr>
      </w:pPr>
    </w:p>
    <w:p w14:paraId="50A980B9" w14:textId="77777777" w:rsidR="003D5B2D" w:rsidRDefault="003D5B2D" w:rsidP="003D5B2D">
      <w:pPr>
        <w:bidi w:val="0"/>
      </w:pPr>
      <w:r w:rsidRPr="00B951C3">
        <w:rPr>
          <w:b/>
          <w:bCs/>
          <w:color w:val="D85640"/>
          <w:sz w:val="24"/>
          <w:szCs w:val="24"/>
          <w:u w:val="single"/>
        </w:rPr>
        <w:t>Date and Place</w:t>
      </w:r>
      <w:r>
        <w:rPr>
          <w:color w:val="D85640"/>
          <w:sz w:val="24"/>
          <w:szCs w:val="24"/>
        </w:rPr>
        <w:t xml:space="preserve">: </w:t>
      </w:r>
      <w:r>
        <w:t xml:space="preserve"> 1 Adar II, 5670 (1910), Yafo</w:t>
      </w:r>
    </w:p>
    <w:p w14:paraId="11BC1D8A" w14:textId="77777777" w:rsidR="003D5B2D" w:rsidRDefault="003D5B2D" w:rsidP="003D5B2D">
      <w:pPr>
        <w:bidi w:val="0"/>
      </w:pPr>
    </w:p>
    <w:p w14:paraId="78C5F2EC" w14:textId="77777777" w:rsidR="003D5B2D" w:rsidRDefault="003D5B2D" w:rsidP="003D5B2D">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Rabbi Dr. Meir Lerner, Rabbi of </w:t>
      </w:r>
      <w:proofErr w:type="spellStart"/>
      <w:r>
        <w:t>Altuna</w:t>
      </w:r>
      <w:proofErr w:type="spellEnd"/>
      <w:r>
        <w:t xml:space="preserve"> (Germany), who for years had interest in the settlement of </w:t>
      </w:r>
      <w:r>
        <w:rPr>
          <w:i/>
          <w:iCs/>
        </w:rPr>
        <w:t>Eretz Yisrael</w:t>
      </w:r>
      <w:r>
        <w:t xml:space="preserve">. </w:t>
      </w:r>
    </w:p>
    <w:p w14:paraId="5D0545FD" w14:textId="77777777" w:rsidR="003D5B2D" w:rsidRDefault="003D5B2D" w:rsidP="003D5B2D">
      <w:pPr>
        <w:bidi w:val="0"/>
      </w:pPr>
      <w:r>
        <w:t xml:space="preserve"> </w:t>
      </w:r>
    </w:p>
    <w:p w14:paraId="2E5AD74C" w14:textId="77777777" w:rsidR="003D5B2D" w:rsidRPr="00552764" w:rsidRDefault="003D5B2D" w:rsidP="003D5B2D">
      <w:pPr>
        <w:bidi w:val="0"/>
        <w:rPr>
          <w:i/>
          <w:iCs/>
          <w:rtl/>
        </w:rPr>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received your holy letter on 13 Adar I, and I was very happy about the holy inspiration to settle the Holy Land in the light of the spirit of Hashem which extends to His nation and lot, with complete belief and fear of Hashem in truth and completeness. I will answer your questions in order, in brief because of time pressures. </w:t>
      </w:r>
    </w:p>
    <w:p w14:paraId="6E025706" w14:textId="77777777" w:rsidR="003D5B2D" w:rsidRDefault="003D5B2D" w:rsidP="003D5B2D">
      <w:pPr>
        <w:bidi w:val="0"/>
        <w:ind w:firstLine="450"/>
        <w:rPr>
          <w:lang w:val="en-GB"/>
        </w:rPr>
      </w:pPr>
      <w:r w:rsidRPr="006574D2">
        <w:t>1.</w:t>
      </w:r>
      <w:r>
        <w:t xml:space="preserve"> Which colonies (agricultural settlements = </w:t>
      </w:r>
      <w:proofErr w:type="spellStart"/>
      <w:r>
        <w:rPr>
          <w:i/>
          <w:iCs/>
        </w:rPr>
        <w:t>moshavot</w:t>
      </w:r>
      <w:proofErr w:type="spellEnd"/>
      <w:r>
        <w:t xml:space="preserve">) act fully according to Halacha – You should know that this matter cannot be decided with a general answer. In every </w:t>
      </w:r>
      <w:proofErr w:type="spellStart"/>
      <w:r>
        <w:rPr>
          <w:i/>
          <w:iCs/>
        </w:rPr>
        <w:t>moshava</w:t>
      </w:r>
      <w:proofErr w:type="spellEnd"/>
      <w:r>
        <w:t xml:space="preserve">, there are many people who fear Hashem and act in a completely religious manner, who are careful and exacting in their performance of </w:t>
      </w:r>
      <w:r>
        <w:rPr>
          <w:i/>
          <w:iCs/>
        </w:rPr>
        <w:t>mitzvot</w:t>
      </w:r>
      <w:r>
        <w:t xml:space="preserve"> and </w:t>
      </w:r>
      <w:r>
        <w:rPr>
          <w:lang w:val="en-GB"/>
        </w:rPr>
        <w:t xml:space="preserve">set aside time for Torah study. In the opposite direction, there are also those who are destructive and throw off the yoke of Torah and </w:t>
      </w:r>
      <w:r>
        <w:rPr>
          <w:i/>
          <w:iCs/>
          <w:lang w:val="en-GB"/>
        </w:rPr>
        <w:t>mitzvot</w:t>
      </w:r>
      <w:r>
        <w:rPr>
          <w:lang w:val="en-GB"/>
        </w:rPr>
        <w:t xml:space="preserve">. While even those who are ostensibly bereft of virtue possess many positive attributes (see Sanhedrin 37a), this is not relevant to our goal of founding a “precious corner” that will be totally holy and dedicated to Hashem and reliable to Torah and </w:t>
      </w:r>
      <w:r>
        <w:rPr>
          <w:i/>
          <w:iCs/>
          <w:lang w:val="en-GB"/>
        </w:rPr>
        <w:t xml:space="preserve">mitzvot </w:t>
      </w:r>
      <w:r>
        <w:rPr>
          <w:lang w:val="en-GB"/>
        </w:rPr>
        <w:t>without aberrations and exceptions.</w:t>
      </w:r>
    </w:p>
    <w:p w14:paraId="6AD167E7" w14:textId="77777777" w:rsidR="003D5B2D" w:rsidRDefault="003D5B2D" w:rsidP="003D5B2D">
      <w:pPr>
        <w:bidi w:val="0"/>
        <w:ind w:firstLine="450"/>
        <w:rPr>
          <w:lang w:val="en-GB"/>
        </w:rPr>
      </w:pPr>
      <w:r>
        <w:rPr>
          <w:lang w:val="en-GB"/>
        </w:rPr>
        <w:t xml:space="preserve">Certainly, if we will look for a </w:t>
      </w:r>
      <w:proofErr w:type="spellStart"/>
      <w:r>
        <w:rPr>
          <w:i/>
          <w:iCs/>
          <w:lang w:val="en-GB"/>
        </w:rPr>
        <w:t>moshava</w:t>
      </w:r>
      <w:proofErr w:type="spellEnd"/>
      <w:r>
        <w:rPr>
          <w:lang w:val="en-GB"/>
        </w:rPr>
        <w:t xml:space="preserve"> that does not have any “impurities mixed in,” it is not possible to find, just as in the Diaspora</w:t>
      </w:r>
      <w:r>
        <w:rPr>
          <w:rFonts w:hint="cs"/>
          <w:rtl/>
          <w:lang w:val="en-GB"/>
        </w:rPr>
        <w:t>ת</w:t>
      </w:r>
      <w:r>
        <w:rPr>
          <w:lang w:val="en-GB"/>
        </w:rPr>
        <w:t xml:space="preserve"> you will not find one city that is 100% righteous. However, if we will lean in the direction of kindness, and we will thus be satisfied with the presence of a nice amount of people who fear Hashem and have regard for His Name, this you will find in all of the </w:t>
      </w:r>
      <w:proofErr w:type="spellStart"/>
      <w:r>
        <w:rPr>
          <w:i/>
          <w:iCs/>
          <w:lang w:val="en-GB"/>
        </w:rPr>
        <w:t>moshavot</w:t>
      </w:r>
      <w:proofErr w:type="spellEnd"/>
      <w:r>
        <w:rPr>
          <w:lang w:val="en-GB"/>
        </w:rPr>
        <w:t xml:space="preserve">, thank G-d. Obviously, in the largest </w:t>
      </w:r>
      <w:proofErr w:type="spellStart"/>
      <w:r>
        <w:rPr>
          <w:i/>
          <w:iCs/>
          <w:lang w:val="en-GB"/>
        </w:rPr>
        <w:t>moshavot</w:t>
      </w:r>
      <w:proofErr w:type="spellEnd"/>
      <w:r>
        <w:rPr>
          <w:lang w:val="en-GB"/>
        </w:rPr>
        <w:t xml:space="preserve">, such as </w:t>
      </w:r>
      <w:proofErr w:type="spellStart"/>
      <w:r>
        <w:rPr>
          <w:lang w:val="en-GB"/>
        </w:rPr>
        <w:t>Petach</w:t>
      </w:r>
      <w:proofErr w:type="spellEnd"/>
      <w:r>
        <w:rPr>
          <w:lang w:val="en-GB"/>
        </w:rPr>
        <w:t xml:space="preserve"> </w:t>
      </w:r>
      <w:proofErr w:type="spellStart"/>
      <w:r>
        <w:rPr>
          <w:lang w:val="en-GB"/>
        </w:rPr>
        <w:t>Tikva</w:t>
      </w:r>
      <w:proofErr w:type="spellEnd"/>
      <w:r>
        <w:rPr>
          <w:lang w:val="en-GB"/>
        </w:rPr>
        <w:t xml:space="preserve">, the matter of religion finding expression in Torah and </w:t>
      </w:r>
      <w:r>
        <w:rPr>
          <w:i/>
          <w:iCs/>
          <w:lang w:val="en-GB"/>
        </w:rPr>
        <w:t>mitzvot</w:t>
      </w:r>
      <w:r>
        <w:rPr>
          <w:lang w:val="en-GB"/>
        </w:rPr>
        <w:t xml:space="preserve"> is more recognizable. There you can find </w:t>
      </w:r>
      <w:proofErr w:type="spellStart"/>
      <w:r>
        <w:rPr>
          <w:i/>
          <w:iCs/>
          <w:lang w:val="en-GB"/>
        </w:rPr>
        <w:t>batei</w:t>
      </w:r>
      <w:proofErr w:type="spellEnd"/>
      <w:r>
        <w:rPr>
          <w:i/>
          <w:iCs/>
          <w:lang w:val="en-GB"/>
        </w:rPr>
        <w:t xml:space="preserve"> </w:t>
      </w:r>
      <w:proofErr w:type="spellStart"/>
      <w:r>
        <w:rPr>
          <w:i/>
          <w:iCs/>
          <w:lang w:val="en-GB"/>
        </w:rPr>
        <w:t>knesset</w:t>
      </w:r>
      <w:proofErr w:type="spellEnd"/>
      <w:r>
        <w:rPr>
          <w:i/>
          <w:iCs/>
          <w:lang w:val="en-GB"/>
        </w:rPr>
        <w:t xml:space="preserve"> </w:t>
      </w:r>
      <w:r>
        <w:rPr>
          <w:lang w:val="en-GB"/>
        </w:rPr>
        <w:t xml:space="preserve">and adjoining rooms full with people during the times of prayer – Shacharit, </w:t>
      </w:r>
      <w:proofErr w:type="spellStart"/>
      <w:r>
        <w:rPr>
          <w:lang w:val="en-GB"/>
        </w:rPr>
        <w:t>Arvit</w:t>
      </w:r>
      <w:proofErr w:type="spellEnd"/>
      <w:r>
        <w:rPr>
          <w:lang w:val="en-GB"/>
        </w:rPr>
        <w:t xml:space="preserve">, and </w:t>
      </w:r>
      <w:proofErr w:type="spellStart"/>
      <w:r>
        <w:rPr>
          <w:lang w:val="en-GB"/>
        </w:rPr>
        <w:t>Mincha</w:t>
      </w:r>
      <w:proofErr w:type="spellEnd"/>
      <w:r>
        <w:rPr>
          <w:lang w:val="en-GB"/>
        </w:rPr>
        <w:t xml:space="preserve"> – in a manner that gratifies the heart of everyone who fears Hashem and is exuberant about worship of Him. It is similar in smaller </w:t>
      </w:r>
      <w:proofErr w:type="spellStart"/>
      <w:r>
        <w:rPr>
          <w:i/>
          <w:iCs/>
          <w:lang w:val="en-GB"/>
        </w:rPr>
        <w:t>moshavot</w:t>
      </w:r>
      <w:proofErr w:type="spellEnd"/>
      <w:r>
        <w:rPr>
          <w:lang w:val="en-GB"/>
        </w:rPr>
        <w:t xml:space="preserve"> in a relative manner. </w:t>
      </w:r>
    </w:p>
    <w:p w14:paraId="7E8C0A51" w14:textId="77777777" w:rsidR="003D5B2D" w:rsidRDefault="003D5B2D" w:rsidP="003D5B2D">
      <w:pPr>
        <w:bidi w:val="0"/>
        <w:ind w:firstLine="450"/>
        <w:rPr>
          <w:lang w:val="en-GB"/>
        </w:rPr>
      </w:pPr>
      <w:r>
        <w:rPr>
          <w:lang w:val="en-GB"/>
        </w:rPr>
        <w:t xml:space="preserve">Regarding the need to expand the </w:t>
      </w:r>
      <w:proofErr w:type="spellStart"/>
      <w:r>
        <w:rPr>
          <w:i/>
          <w:iCs/>
          <w:lang w:val="en-GB"/>
        </w:rPr>
        <w:t>moshavot</w:t>
      </w:r>
      <w:proofErr w:type="spellEnd"/>
      <w:r>
        <w:rPr>
          <w:lang w:val="en-GB"/>
        </w:rPr>
        <w:t xml:space="preserve">, in almost every one, the situation is that the more the Jewish </w:t>
      </w:r>
      <w:proofErr w:type="gramStart"/>
      <w:r>
        <w:rPr>
          <w:lang w:val="en-GB"/>
        </w:rPr>
        <w:t>inhabitation</w:t>
      </w:r>
      <w:r>
        <w:rPr>
          <w:rFonts w:hint="cs"/>
          <w:rtl/>
          <w:lang w:val="en-GB"/>
        </w:rPr>
        <w:t xml:space="preserve"> </w:t>
      </w:r>
      <w:r>
        <w:t xml:space="preserve"> expands</w:t>
      </w:r>
      <w:proofErr w:type="gramEnd"/>
      <w:r>
        <w:rPr>
          <w:lang w:val="en-GB"/>
        </w:rPr>
        <w:t xml:space="preserve">, the more the </w:t>
      </w:r>
      <w:proofErr w:type="spellStart"/>
      <w:r>
        <w:rPr>
          <w:i/>
          <w:iCs/>
          <w:lang w:val="en-GB"/>
        </w:rPr>
        <w:t>moshava</w:t>
      </w:r>
      <w:proofErr w:type="spellEnd"/>
      <w:r>
        <w:rPr>
          <w:lang w:val="en-GB"/>
        </w:rPr>
        <w:t xml:space="preserve"> will grow, as will its importance and security. There are indeed sections of land that are available to be bought in the vicinity of almost all of the </w:t>
      </w:r>
      <w:proofErr w:type="spellStart"/>
      <w:r>
        <w:rPr>
          <w:i/>
          <w:iCs/>
          <w:lang w:val="en-GB"/>
        </w:rPr>
        <w:t>moshavot</w:t>
      </w:r>
      <w:proofErr w:type="spellEnd"/>
      <w:r>
        <w:rPr>
          <w:lang w:val="en-GB"/>
        </w:rPr>
        <w:t xml:space="preserve">, especially around </w:t>
      </w:r>
      <w:proofErr w:type="spellStart"/>
      <w:r>
        <w:rPr>
          <w:lang w:val="en-GB"/>
        </w:rPr>
        <w:t>Petach</w:t>
      </w:r>
      <w:proofErr w:type="spellEnd"/>
      <w:r>
        <w:rPr>
          <w:lang w:val="en-GB"/>
        </w:rPr>
        <w:t xml:space="preserve"> </w:t>
      </w:r>
      <w:proofErr w:type="spellStart"/>
      <w:r>
        <w:rPr>
          <w:lang w:val="en-GB"/>
        </w:rPr>
        <w:t>Tikva</w:t>
      </w:r>
      <w:proofErr w:type="spellEnd"/>
      <w:r>
        <w:rPr>
          <w:lang w:val="en-GB"/>
        </w:rPr>
        <w:t xml:space="preserve">, </w:t>
      </w:r>
      <w:proofErr w:type="spellStart"/>
      <w:r>
        <w:rPr>
          <w:lang w:val="en-GB"/>
        </w:rPr>
        <w:t>Rechovot</w:t>
      </w:r>
      <w:proofErr w:type="spellEnd"/>
      <w:r>
        <w:rPr>
          <w:lang w:val="en-GB"/>
        </w:rPr>
        <w:t xml:space="preserve">, and </w:t>
      </w:r>
      <w:proofErr w:type="spellStart"/>
      <w:r>
        <w:rPr>
          <w:lang w:val="en-GB"/>
        </w:rPr>
        <w:t>Ekron</w:t>
      </w:r>
      <w:proofErr w:type="spellEnd"/>
      <w:r>
        <w:rPr>
          <w:lang w:val="en-GB"/>
        </w:rPr>
        <w:t xml:space="preserve">, and likewise in areas of the Galilee. </w:t>
      </w:r>
    </w:p>
    <w:p w14:paraId="5D74B9F0" w14:textId="77777777" w:rsidR="003D5B2D" w:rsidRDefault="003D5B2D" w:rsidP="003D5B2D">
      <w:pPr>
        <w:bidi w:val="0"/>
        <w:ind w:firstLine="450"/>
        <w:rPr>
          <w:lang w:val="en-GB"/>
        </w:rPr>
      </w:pPr>
      <w:r>
        <w:rPr>
          <w:lang w:val="en-GB"/>
        </w:rPr>
        <w:t xml:space="preserve">At this time, there is an organization that includes many very religious people, who want to buy a large tract of land in the outskirts of Rafah, which is on the Egyptian border and is presently under British control, on our side of Wadi El Arish. It would be a good idea to join up with this group. The first meeting of the group’s founders already took place in my house, and the decision that all of the affairs of the settlement, when it will come into being, will be according to the holy Torah, is recorded. This includes matters of education, land-based </w:t>
      </w:r>
      <w:r>
        <w:rPr>
          <w:i/>
          <w:iCs/>
          <w:lang w:val="en-GB"/>
        </w:rPr>
        <w:t>mitzvot</w:t>
      </w:r>
      <w:r>
        <w:rPr>
          <w:lang w:val="en-GB"/>
        </w:rPr>
        <w:t xml:space="preserve">, and all public matters. It was also decided that </w:t>
      </w:r>
      <w:r>
        <w:rPr>
          <w:i/>
          <w:iCs/>
          <w:lang w:val="en-GB"/>
        </w:rPr>
        <w:t>mitzva</w:t>
      </w:r>
      <w:r>
        <w:rPr>
          <w:lang w:val="en-GB"/>
        </w:rPr>
        <w:t xml:space="preserve"> observance in all public matters falls into the category of “the guidelines of the greater community,” which the appointed committees for the operation of the </w:t>
      </w:r>
      <w:proofErr w:type="spellStart"/>
      <w:r>
        <w:rPr>
          <w:i/>
          <w:iCs/>
          <w:lang w:val="en-GB"/>
        </w:rPr>
        <w:t>moshavot</w:t>
      </w:r>
      <w:proofErr w:type="spellEnd"/>
      <w:r>
        <w:rPr>
          <w:lang w:val="en-GB"/>
        </w:rPr>
        <w:t xml:space="preserve"> are in charge of enforcing, that nothing in the Torah and its </w:t>
      </w:r>
      <w:r>
        <w:rPr>
          <w:i/>
          <w:iCs/>
          <w:lang w:val="en-GB"/>
        </w:rPr>
        <w:t>mitzvot</w:t>
      </w:r>
      <w:r>
        <w:rPr>
          <w:lang w:val="en-GB"/>
        </w:rPr>
        <w:t xml:space="preserve"> will be desecrated. Also, all the members of the settlement will have to take part in financing all matter</w:t>
      </w:r>
      <w:r>
        <w:t>s</w:t>
      </w:r>
      <w:r>
        <w:rPr>
          <w:lang w:val="en-GB"/>
        </w:rPr>
        <w:t xml:space="preserve"> of religion that cost money without the possibility of avoiding these responsibilities. The founders accepted the responsibility to ensure that everyone who will join the organization will be required to accept these conditions, and that no one will be accepted until they will have been notified of these rules and accepted to follow them. </w:t>
      </w:r>
    </w:p>
    <w:p w14:paraId="620E1768" w14:textId="77777777" w:rsidR="003D5B2D" w:rsidRPr="006466F6" w:rsidRDefault="003D5B2D" w:rsidP="003D5B2D">
      <w:pPr>
        <w:bidi w:val="0"/>
        <w:ind w:firstLine="450"/>
        <w:jc w:val="center"/>
        <w:rPr>
          <w:i/>
          <w:iCs/>
          <w:lang w:val="en-GB"/>
        </w:rPr>
      </w:pPr>
      <w:r>
        <w:rPr>
          <w:i/>
          <w:iCs/>
          <w:lang w:val="en-GB"/>
        </w:rPr>
        <w:t xml:space="preserve">Next time we will continue with the response to other inquiries. </w:t>
      </w:r>
    </w:p>
    <w:p w14:paraId="51A4EE36" w14:textId="77777777" w:rsidR="003D5B2D" w:rsidRPr="00FA6621" w:rsidRDefault="003D5B2D" w:rsidP="003D5B2D">
      <w:pPr>
        <w:bidi w:val="0"/>
        <w:rPr>
          <w:sz w:val="8"/>
          <w:szCs w:val="8"/>
        </w:rPr>
      </w:pPr>
    </w:p>
    <w:p w14:paraId="3413D23F" w14:textId="1397B62A" w:rsidR="00F66A28" w:rsidRDefault="00F66A28" w:rsidP="00F66A28">
      <w:pPr>
        <w:bidi w:val="0"/>
        <w:spacing w:line="276" w:lineRule="auto"/>
        <w:ind w:firstLine="360"/>
      </w:pPr>
    </w:p>
    <w:p w14:paraId="3E342247" w14:textId="7113E065" w:rsidR="00D70F9D" w:rsidRDefault="00D70F9D" w:rsidP="00D70F9D">
      <w:pPr>
        <w:bidi w:val="0"/>
        <w:spacing w:line="276" w:lineRule="auto"/>
        <w:ind w:firstLine="360"/>
      </w:pPr>
    </w:p>
    <w:p w14:paraId="7EFC9F1F" w14:textId="3C716A30" w:rsidR="003E32F5" w:rsidRDefault="003E32F5" w:rsidP="003E32F5">
      <w:pPr>
        <w:bidi w:val="0"/>
        <w:spacing w:line="276" w:lineRule="auto"/>
        <w:ind w:firstLine="360"/>
      </w:pPr>
    </w:p>
    <w:p w14:paraId="66038C13" w14:textId="3121B089" w:rsidR="003E32F5" w:rsidRDefault="003E32F5" w:rsidP="003E32F5">
      <w:pPr>
        <w:bidi w:val="0"/>
        <w:spacing w:line="276" w:lineRule="auto"/>
        <w:ind w:firstLine="360"/>
      </w:pPr>
    </w:p>
    <w:p w14:paraId="747E465E" w14:textId="77777777" w:rsidR="003E32F5" w:rsidRDefault="003E32F5" w:rsidP="003E32F5">
      <w:pPr>
        <w:bidi w:val="0"/>
        <w:spacing w:line="276" w:lineRule="auto"/>
        <w:ind w:firstLine="360"/>
      </w:pPr>
    </w:p>
    <w:p w14:paraId="6B3A723C" w14:textId="77777777" w:rsidR="00D70F9D" w:rsidRDefault="00D70F9D" w:rsidP="00D70F9D">
      <w:pPr>
        <w:bidi w:val="0"/>
        <w:spacing w:line="276" w:lineRule="auto"/>
        <w:ind w:firstLine="360"/>
      </w:pPr>
    </w:p>
    <w:p w14:paraId="77758510" w14:textId="77777777" w:rsidR="00920ABD" w:rsidRDefault="00920ABD" w:rsidP="00920ABD">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77777777" w:rsidR="00D9393A" w:rsidRDefault="00D9393A" w:rsidP="00D9393A">
      <w:pPr>
        <w:bidi w:val="0"/>
        <w:ind w:firstLine="360"/>
        <w:rPr>
          <w:rtl/>
        </w:rPr>
      </w:pPr>
    </w:p>
    <w:p w14:paraId="41EB3A56" w14:textId="3647547F" w:rsidR="006A3D1C" w:rsidRDefault="003D5B2D" w:rsidP="000417F7">
      <w:pPr>
        <w:bidi w:val="0"/>
        <w:ind w:firstLine="360"/>
      </w:pPr>
      <w:r>
        <w:rPr>
          <w:noProof/>
        </w:rPr>
        <w:lastRenderedPageBreak/>
        <w:drawing>
          <wp:anchor distT="0" distB="0" distL="114300" distR="114300" simplePos="0" relativeHeight="251657728" behindDoc="1" locked="0" layoutInCell="1" allowOverlap="1" wp14:anchorId="5562C0F0" wp14:editId="5B5BB017">
            <wp:simplePos x="0" y="0"/>
            <wp:positionH relativeFrom="margin">
              <wp:posOffset>-33101</wp:posOffset>
            </wp:positionH>
            <wp:positionV relativeFrom="paragraph">
              <wp:posOffset>-72201</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AF249" w14:textId="464C0434" w:rsidR="003E32F5" w:rsidRDefault="003E32F5" w:rsidP="00BF0DC5">
      <w:pPr>
        <w:bidi w:val="0"/>
        <w:ind w:firstLine="360"/>
        <w:rPr>
          <w:noProof/>
        </w:rPr>
      </w:pPr>
    </w:p>
    <w:p w14:paraId="64BA4ABB" w14:textId="77777777" w:rsidR="003E32F5" w:rsidRDefault="003E32F5" w:rsidP="003E32F5">
      <w:pPr>
        <w:bidi w:val="0"/>
        <w:ind w:firstLine="360"/>
        <w:rPr>
          <w:noProof/>
        </w:rPr>
      </w:pPr>
    </w:p>
    <w:p w14:paraId="62C98626" w14:textId="616F0139" w:rsidR="003E32F5" w:rsidRDefault="003E32F5" w:rsidP="003E32F5">
      <w:pPr>
        <w:bidi w:val="0"/>
        <w:ind w:firstLine="360"/>
        <w:rPr>
          <w:noProof/>
        </w:rPr>
      </w:pPr>
    </w:p>
    <w:p w14:paraId="754C6D98" w14:textId="77777777" w:rsidR="00BF0DC5" w:rsidRDefault="00BF0DC5" w:rsidP="00BF0DC5">
      <w:pPr>
        <w:bidi w:val="0"/>
        <w:ind w:firstLine="360"/>
        <w:rPr>
          <w:noProof/>
          <w:sz w:val="24"/>
          <w:szCs w:val="24"/>
        </w:rPr>
      </w:pPr>
    </w:p>
    <w:p w14:paraId="10155EED" w14:textId="77777777" w:rsidR="006A3D1C" w:rsidRDefault="006A3D1C" w:rsidP="006A3D1C">
      <w:pPr>
        <w:bidi w:val="0"/>
        <w:ind w:firstLine="360"/>
        <w:rPr>
          <w:noProof/>
          <w:sz w:val="24"/>
          <w:szCs w:val="24"/>
        </w:rPr>
      </w:pPr>
    </w:p>
    <w:p w14:paraId="2E3804E4" w14:textId="77777777" w:rsidR="003D5B2D" w:rsidRPr="003D5B2D" w:rsidRDefault="003D5B2D" w:rsidP="003D5B2D">
      <w:pPr>
        <w:pStyle w:val="Heading2"/>
        <w:bidi w:val="0"/>
        <w:spacing w:before="0" w:after="0"/>
        <w:rPr>
          <w:i w:val="0"/>
          <w:iCs w:val="0"/>
          <w:sz w:val="20"/>
        </w:rPr>
      </w:pPr>
      <w:r w:rsidRPr="003D5B2D">
        <w:rPr>
          <w:i w:val="0"/>
          <w:iCs w:val="0"/>
          <w:color w:val="D85640"/>
        </w:rPr>
        <w:t>How Much Was Agreed to Pay for Renovations?</w:t>
      </w:r>
      <w:r w:rsidRPr="003D5B2D">
        <w:rPr>
          <w:i w:val="0"/>
          <w:iCs w:val="0"/>
          <w:sz w:val="20"/>
        </w:rPr>
        <w:t xml:space="preserve"> </w:t>
      </w:r>
    </w:p>
    <w:p w14:paraId="36206D47" w14:textId="77777777" w:rsidR="003D5B2D" w:rsidRPr="003D5B2D" w:rsidRDefault="003D5B2D" w:rsidP="003D5B2D">
      <w:pPr>
        <w:pStyle w:val="Heading2"/>
        <w:bidi w:val="0"/>
        <w:spacing w:before="0" w:after="0"/>
        <w:rPr>
          <w:b w:val="0"/>
          <w:bCs w:val="0"/>
          <w:i w:val="0"/>
          <w:iCs w:val="0"/>
          <w:sz w:val="22"/>
          <w:szCs w:val="18"/>
        </w:rPr>
      </w:pPr>
      <w:r w:rsidRPr="003D5B2D">
        <w:rPr>
          <w:b w:val="0"/>
          <w:bCs w:val="0"/>
          <w:i w:val="0"/>
          <w:iCs w:val="0"/>
          <w:sz w:val="20"/>
        </w:rPr>
        <w:t>(</w:t>
      </w:r>
      <w:proofErr w:type="gramStart"/>
      <w:r w:rsidRPr="003D5B2D">
        <w:rPr>
          <w:b w:val="0"/>
          <w:bCs w:val="0"/>
          <w:i w:val="0"/>
          <w:iCs w:val="0"/>
          <w:sz w:val="20"/>
        </w:rPr>
        <w:t>based</w:t>
      </w:r>
      <w:proofErr w:type="gramEnd"/>
      <w:r w:rsidRPr="003D5B2D">
        <w:rPr>
          <w:b w:val="0"/>
          <w:bCs w:val="0"/>
          <w:i w:val="0"/>
          <w:iCs w:val="0"/>
          <w:sz w:val="20"/>
        </w:rPr>
        <w:t xml:space="preserve"> on ruling 84054 of the Eretz Hemdah-</w:t>
      </w:r>
      <w:proofErr w:type="spellStart"/>
      <w:r w:rsidRPr="003D5B2D">
        <w:rPr>
          <w:b w:val="0"/>
          <w:bCs w:val="0"/>
          <w:i w:val="0"/>
          <w:iCs w:val="0"/>
          <w:sz w:val="20"/>
        </w:rPr>
        <w:t>Gazit</w:t>
      </w:r>
      <w:proofErr w:type="spellEnd"/>
      <w:r w:rsidRPr="003D5B2D">
        <w:rPr>
          <w:b w:val="0"/>
          <w:bCs w:val="0"/>
          <w:i w:val="0"/>
          <w:iCs w:val="0"/>
          <w:sz w:val="20"/>
        </w:rPr>
        <w:t xml:space="preserve"> Rabbinical Courts)</w:t>
      </w:r>
      <w:r w:rsidRPr="003D5B2D">
        <w:rPr>
          <w:b w:val="0"/>
          <w:bCs w:val="0"/>
          <w:i w:val="0"/>
          <w:iCs w:val="0"/>
          <w:sz w:val="22"/>
          <w:szCs w:val="18"/>
        </w:rPr>
        <w:t xml:space="preserve"> </w:t>
      </w:r>
    </w:p>
    <w:p w14:paraId="150D1D74" w14:textId="77777777" w:rsidR="003D5B2D" w:rsidRPr="006C633B" w:rsidRDefault="003D5B2D" w:rsidP="003D5B2D">
      <w:pPr>
        <w:bidi w:val="0"/>
        <w:rPr>
          <w:sz w:val="24"/>
        </w:rPr>
      </w:pPr>
    </w:p>
    <w:p w14:paraId="332FAAC1" w14:textId="77777777" w:rsidR="003D5B2D" w:rsidRPr="008C3C1C" w:rsidRDefault="003D5B2D" w:rsidP="003D5B2D">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hired the</w:t>
      </w:r>
      <w:r>
        <w:rPr>
          <w:i/>
          <w:iCs/>
        </w:rPr>
        <w:t xml:space="preserve"> </w:t>
      </w:r>
      <w:r>
        <w:t>plaintiff (=</w:t>
      </w:r>
      <w:r>
        <w:rPr>
          <w:i/>
          <w:iCs/>
        </w:rPr>
        <w:t>pl</w:t>
      </w:r>
      <w:r>
        <w:t xml:space="preserve">) to build a bathroom in his apartment. </w:t>
      </w:r>
      <w:r>
        <w:rPr>
          <w:i/>
          <w:iCs/>
        </w:rPr>
        <w:t xml:space="preserve">Pl </w:t>
      </w:r>
      <w:r>
        <w:t xml:space="preserve">inspected the location, received the plans, and wrote a price estimate of 24,000 NIS for the job. </w:t>
      </w:r>
      <w:r>
        <w:rPr>
          <w:i/>
          <w:iCs/>
        </w:rPr>
        <w:t xml:space="preserve">Def </w:t>
      </w:r>
      <w:r>
        <w:t xml:space="preserve">gave a 2,000 NIS down payment before the work started so </w:t>
      </w:r>
      <w:r>
        <w:rPr>
          <w:i/>
          <w:iCs/>
        </w:rPr>
        <w:t>pl</w:t>
      </w:r>
      <w:r>
        <w:t xml:space="preserve"> could start buying materials, and </w:t>
      </w:r>
      <w:r>
        <w:rPr>
          <w:i/>
          <w:iCs/>
        </w:rPr>
        <w:t>pl</w:t>
      </w:r>
      <w:r>
        <w:t xml:space="preserve"> started and completed the job. </w:t>
      </w:r>
      <w:r>
        <w:rPr>
          <w:i/>
          <w:iCs/>
        </w:rPr>
        <w:t>Def</w:t>
      </w:r>
      <w:r>
        <w:t xml:space="preserve"> paid 18,500 NIS, which is the amount he felt he could afford, and this was the price he received from an Arab contractor. </w:t>
      </w:r>
      <w:r>
        <w:rPr>
          <w:i/>
          <w:iCs/>
        </w:rPr>
        <w:t>Pl</w:t>
      </w:r>
      <w:r>
        <w:t xml:space="preserve"> demands that </w:t>
      </w:r>
      <w:r>
        <w:rPr>
          <w:i/>
          <w:iCs/>
        </w:rPr>
        <w:t>def</w:t>
      </w:r>
      <w:r>
        <w:t xml:space="preserve"> complete his payment responsibility according to the written agreement, whereas </w:t>
      </w:r>
      <w:r>
        <w:rPr>
          <w:i/>
          <w:iCs/>
        </w:rPr>
        <w:t>def</w:t>
      </w:r>
      <w:r>
        <w:t xml:space="preserve"> claims that he never felt bound to that price and that </w:t>
      </w:r>
      <w:r>
        <w:rPr>
          <w:i/>
          <w:iCs/>
        </w:rPr>
        <w:t>pl</w:t>
      </w:r>
      <w:r>
        <w:t xml:space="preserve"> had agreed to reduce the fee as requested, soon after work began. </w:t>
      </w:r>
      <w:r>
        <w:rPr>
          <w:i/>
          <w:iCs/>
        </w:rPr>
        <w:t>Pl</w:t>
      </w:r>
      <w:r>
        <w:t xml:space="preserve"> denies such a conversation. </w:t>
      </w:r>
    </w:p>
    <w:p w14:paraId="46B6901F" w14:textId="77777777" w:rsidR="003D5B2D" w:rsidRPr="00561B28" w:rsidRDefault="003D5B2D" w:rsidP="003D5B2D">
      <w:pPr>
        <w:bidi w:val="0"/>
        <w:spacing w:line="276" w:lineRule="auto"/>
        <w:rPr>
          <w:sz w:val="22"/>
          <w:szCs w:val="22"/>
        </w:rPr>
      </w:pPr>
      <w:r>
        <w:t xml:space="preserve">  </w:t>
      </w:r>
    </w:p>
    <w:p w14:paraId="64C3BF37" w14:textId="77777777" w:rsidR="003D5B2D" w:rsidRPr="0010269F" w:rsidRDefault="003D5B2D" w:rsidP="003D5B2D">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8C3C1C">
        <w:t>There</w:t>
      </w:r>
      <w:r>
        <w:t xml:space="preserve"> are two parts to creating a binding agreement – </w:t>
      </w:r>
      <w:proofErr w:type="spellStart"/>
      <w:r>
        <w:rPr>
          <w:i/>
          <w:iCs/>
        </w:rPr>
        <w:t>gemirut</w:t>
      </w:r>
      <w:proofErr w:type="spellEnd"/>
      <w:r>
        <w:rPr>
          <w:i/>
          <w:iCs/>
        </w:rPr>
        <w:t xml:space="preserve"> </w:t>
      </w:r>
      <w:proofErr w:type="spellStart"/>
      <w:r>
        <w:rPr>
          <w:i/>
          <w:iCs/>
        </w:rPr>
        <w:t>da’at</w:t>
      </w:r>
      <w:proofErr w:type="spellEnd"/>
      <w:r>
        <w:rPr>
          <w:i/>
          <w:iCs/>
        </w:rPr>
        <w:t xml:space="preserve"> </w:t>
      </w:r>
      <w:r>
        <w:t xml:space="preserve">(a firm decision) and an act of </w:t>
      </w:r>
      <w:proofErr w:type="spellStart"/>
      <w:r>
        <w:rPr>
          <w:i/>
          <w:iCs/>
        </w:rPr>
        <w:t>kinyan</w:t>
      </w:r>
      <w:proofErr w:type="spellEnd"/>
      <w:r>
        <w:t xml:space="preserve">. Regarding </w:t>
      </w:r>
      <w:proofErr w:type="spellStart"/>
      <w:r>
        <w:rPr>
          <w:i/>
          <w:iCs/>
        </w:rPr>
        <w:t>gemirut</w:t>
      </w:r>
      <w:proofErr w:type="spellEnd"/>
      <w:r>
        <w:rPr>
          <w:i/>
          <w:iCs/>
        </w:rPr>
        <w:t xml:space="preserve"> </w:t>
      </w:r>
      <w:proofErr w:type="spellStart"/>
      <w:r>
        <w:rPr>
          <w:i/>
          <w:iCs/>
        </w:rPr>
        <w:t>da’at</w:t>
      </w:r>
      <w:proofErr w:type="spellEnd"/>
      <w:r>
        <w:t xml:space="preserve">, we see that </w:t>
      </w:r>
      <w:r>
        <w:rPr>
          <w:i/>
          <w:iCs/>
        </w:rPr>
        <w:t>def</w:t>
      </w:r>
      <w:r>
        <w:t xml:space="preserve"> not only received the price estimate but commented on matters relating to it, including asking about payment in installments and asking whether he would receive receipts for his payments. In electronic messaging and voice messages, never did it come up that </w:t>
      </w:r>
      <w:r>
        <w:rPr>
          <w:i/>
          <w:iCs/>
        </w:rPr>
        <w:t xml:space="preserve">def </w:t>
      </w:r>
      <w:r>
        <w:t xml:space="preserve">did not accept the amount that had been asked. Therefore, we must conclude that </w:t>
      </w:r>
      <w:r>
        <w:rPr>
          <w:i/>
          <w:iCs/>
        </w:rPr>
        <w:t>pl</w:t>
      </w:r>
      <w:r>
        <w:t xml:space="preserve"> had decided to accept the fee of 24,000 NIS. </w:t>
      </w:r>
    </w:p>
    <w:p w14:paraId="448B8589" w14:textId="77777777" w:rsidR="003D5B2D" w:rsidRDefault="003D5B2D" w:rsidP="003D5B2D">
      <w:pPr>
        <w:bidi w:val="0"/>
        <w:spacing w:line="276" w:lineRule="auto"/>
        <w:ind w:firstLine="450"/>
      </w:pPr>
      <w:r>
        <w:t xml:space="preserve">Regarding the act of </w:t>
      </w:r>
      <w:proofErr w:type="spellStart"/>
      <w:r>
        <w:rPr>
          <w:i/>
          <w:iCs/>
        </w:rPr>
        <w:t>kinyan</w:t>
      </w:r>
      <w:proofErr w:type="spellEnd"/>
      <w:r>
        <w:t xml:space="preserve">, which makes the agreement permanent, there were actually multiple ones that were done. For one, the money paid effects a </w:t>
      </w:r>
      <w:proofErr w:type="spellStart"/>
      <w:r>
        <w:rPr>
          <w:i/>
          <w:iCs/>
        </w:rPr>
        <w:t>kinyan</w:t>
      </w:r>
      <w:proofErr w:type="spellEnd"/>
      <w:r>
        <w:t xml:space="preserve"> </w:t>
      </w:r>
      <w:proofErr w:type="spellStart"/>
      <w:r>
        <w:rPr>
          <w:i/>
          <w:iCs/>
        </w:rPr>
        <w:t>kesef</w:t>
      </w:r>
      <w:proofErr w:type="spellEnd"/>
      <w:r>
        <w:rPr>
          <w:i/>
          <w:iCs/>
        </w:rPr>
        <w:t xml:space="preserve"> </w:t>
      </w:r>
      <w:r>
        <w:t xml:space="preserve">(money). Secondly, the beginning of work is also a </w:t>
      </w:r>
      <w:proofErr w:type="spellStart"/>
      <w:r>
        <w:rPr>
          <w:i/>
          <w:iCs/>
        </w:rPr>
        <w:t>kinyan</w:t>
      </w:r>
      <w:proofErr w:type="spellEnd"/>
      <w:r>
        <w:t xml:space="preserve">, specifically in the realm of workers (see </w:t>
      </w:r>
      <w:proofErr w:type="spellStart"/>
      <w:r>
        <w:t>Ramban</w:t>
      </w:r>
      <w:proofErr w:type="spellEnd"/>
      <w:r>
        <w:t xml:space="preserve">, </w:t>
      </w:r>
      <w:proofErr w:type="spellStart"/>
      <w:r>
        <w:t>Bava</w:t>
      </w:r>
      <w:proofErr w:type="spellEnd"/>
      <w:r>
        <w:t xml:space="preserve"> </w:t>
      </w:r>
      <w:proofErr w:type="spellStart"/>
      <w:r>
        <w:t>Metzia</w:t>
      </w:r>
      <w:proofErr w:type="spellEnd"/>
      <w:r>
        <w:t xml:space="preserve"> 76b). Therefore, whatever conditions were in place at that time became binding. It is not necessary to sign on a contract or even have one if it is clear what the agreement is, and a price estimate which was never openly put in question is proof thereof. It is less clear if traveling to the place of the work is a valid </w:t>
      </w:r>
      <w:proofErr w:type="spellStart"/>
      <w:r>
        <w:rPr>
          <w:i/>
          <w:iCs/>
        </w:rPr>
        <w:t>kinyan</w:t>
      </w:r>
      <w:proofErr w:type="spellEnd"/>
      <w:r>
        <w:t xml:space="preserve"> regarding work that is paid by the job (</w:t>
      </w:r>
      <w:proofErr w:type="spellStart"/>
      <w:r>
        <w:rPr>
          <w:i/>
          <w:iCs/>
        </w:rPr>
        <w:t>kablanut</w:t>
      </w:r>
      <w:proofErr w:type="spellEnd"/>
      <w:r>
        <w:t xml:space="preserve">) (see doubt on the matter in </w:t>
      </w:r>
      <w:proofErr w:type="spellStart"/>
      <w:r>
        <w:t>Pitchei</w:t>
      </w:r>
      <w:proofErr w:type="spellEnd"/>
      <w:r>
        <w:t xml:space="preserve"> </w:t>
      </w:r>
      <w:proofErr w:type="spellStart"/>
      <w:r>
        <w:t>Choshen</w:t>
      </w:r>
      <w:proofErr w:type="spellEnd"/>
      <w:r>
        <w:t xml:space="preserve">, </w:t>
      </w:r>
      <w:proofErr w:type="spellStart"/>
      <w:r>
        <w:t>Sechirut</w:t>
      </w:r>
      <w:proofErr w:type="spellEnd"/>
      <w:r>
        <w:t xml:space="preserve"> 7:(9)), but we have seen that there are other </w:t>
      </w:r>
      <w:proofErr w:type="spellStart"/>
      <w:r>
        <w:rPr>
          <w:i/>
          <w:iCs/>
        </w:rPr>
        <w:t>kinyanim</w:t>
      </w:r>
      <w:proofErr w:type="spellEnd"/>
      <w:r>
        <w:t xml:space="preserve"> that clearly apply here. </w:t>
      </w:r>
    </w:p>
    <w:p w14:paraId="378EA978" w14:textId="77777777" w:rsidR="003D5B2D" w:rsidRDefault="003D5B2D" w:rsidP="003D5B2D">
      <w:pPr>
        <w:bidi w:val="0"/>
        <w:spacing w:line="276" w:lineRule="auto"/>
        <w:ind w:firstLine="450"/>
      </w:pPr>
      <w:r>
        <w:t xml:space="preserve">One might think that since there is disagreement whether </w:t>
      </w:r>
      <w:r>
        <w:rPr>
          <w:i/>
          <w:iCs/>
        </w:rPr>
        <w:t xml:space="preserve">pl </w:t>
      </w:r>
      <w:r>
        <w:t xml:space="preserve">agreed to a reduction, that we would say that the one who wants to receive more money must prove that he deserves it. However, this is not so here on a few grounds. In general, we say that a doubt that arose after a </w:t>
      </w:r>
      <w:proofErr w:type="spellStart"/>
      <w:r>
        <w:rPr>
          <w:i/>
          <w:iCs/>
        </w:rPr>
        <w:t>kinyan</w:t>
      </w:r>
      <w:proofErr w:type="spellEnd"/>
      <w:r>
        <w:t xml:space="preserve"> was made does not undo that which occurred through the </w:t>
      </w:r>
      <w:proofErr w:type="spellStart"/>
      <w:r>
        <w:rPr>
          <w:i/>
          <w:iCs/>
        </w:rPr>
        <w:t>kinyan</w:t>
      </w:r>
      <w:proofErr w:type="spellEnd"/>
      <w:r>
        <w:rPr>
          <w:i/>
          <w:iCs/>
        </w:rPr>
        <w:t xml:space="preserve"> </w:t>
      </w:r>
      <w:r>
        <w:t xml:space="preserve">(see </w:t>
      </w:r>
      <w:proofErr w:type="spellStart"/>
      <w:r>
        <w:t>Bava</w:t>
      </w:r>
      <w:proofErr w:type="spellEnd"/>
      <w:r>
        <w:t xml:space="preserve"> Batra 29b). Along these lines, if there is a status quo of obligation (</w:t>
      </w:r>
      <w:proofErr w:type="spellStart"/>
      <w:r>
        <w:rPr>
          <w:i/>
          <w:iCs/>
        </w:rPr>
        <w:t>chezkat</w:t>
      </w:r>
      <w:proofErr w:type="spellEnd"/>
      <w:r>
        <w:rPr>
          <w:i/>
          <w:iCs/>
        </w:rPr>
        <w:t xml:space="preserve"> </w:t>
      </w:r>
      <w:proofErr w:type="spellStart"/>
      <w:r>
        <w:rPr>
          <w:i/>
          <w:iCs/>
        </w:rPr>
        <w:t>chiyuv</w:t>
      </w:r>
      <w:proofErr w:type="spellEnd"/>
      <w:r>
        <w:t xml:space="preserve">), we say that we will go through with the assumption of obligation until proven otherwise (see Taz to </w:t>
      </w:r>
      <w:proofErr w:type="spellStart"/>
      <w:r>
        <w:t>Choshen</w:t>
      </w:r>
      <w:proofErr w:type="spellEnd"/>
      <w:r>
        <w:t xml:space="preserve"> </w:t>
      </w:r>
      <w:proofErr w:type="spellStart"/>
      <w:r>
        <w:t>Mishpat</w:t>
      </w:r>
      <w:proofErr w:type="spellEnd"/>
      <w:r>
        <w:t xml:space="preserve"> 190:13). Finally, the claim that the other party was </w:t>
      </w:r>
      <w:proofErr w:type="spellStart"/>
      <w:r>
        <w:rPr>
          <w:i/>
          <w:iCs/>
        </w:rPr>
        <w:t>mochel</w:t>
      </w:r>
      <w:proofErr w:type="spellEnd"/>
      <w:r>
        <w:rPr>
          <w:i/>
          <w:iCs/>
        </w:rPr>
        <w:t xml:space="preserve"> </w:t>
      </w:r>
      <w:r>
        <w:t xml:space="preserve">(relinquished rights) is a particularly difficult claim to accept (Rama, CM 70:1). Whereas the claim that one paid the obligation can be a strong one, that is because obligations are made to be paid (see Rav Nachum </w:t>
      </w:r>
      <w:proofErr w:type="spellStart"/>
      <w:r>
        <w:t>Persovitz</w:t>
      </w:r>
      <w:proofErr w:type="spellEnd"/>
      <w:r>
        <w:t xml:space="preserve"> to </w:t>
      </w:r>
      <w:proofErr w:type="spellStart"/>
      <w:r>
        <w:t>Bava</w:t>
      </w:r>
      <w:proofErr w:type="spellEnd"/>
      <w:r>
        <w:t xml:space="preserve"> Batra 5b). In contrast, obligations are not made to be relinquished by the one who deserves to take advantage of them.</w:t>
      </w:r>
    </w:p>
    <w:p w14:paraId="77082C1E" w14:textId="77777777" w:rsidR="003D5B2D" w:rsidRPr="00452354" w:rsidRDefault="003D5B2D" w:rsidP="003D5B2D">
      <w:pPr>
        <w:bidi w:val="0"/>
        <w:spacing w:line="276" w:lineRule="auto"/>
        <w:ind w:firstLine="450"/>
        <w:rPr>
          <w:i/>
          <w:iCs/>
        </w:rPr>
      </w:pPr>
      <w:r>
        <w:t xml:space="preserve">Therefore, </w:t>
      </w:r>
      <w:r>
        <w:rPr>
          <w:i/>
          <w:iCs/>
        </w:rPr>
        <w:t xml:space="preserve">def </w:t>
      </w:r>
      <w:r>
        <w:t xml:space="preserve">must pay the full amount due based on the price estimate.   </w:t>
      </w:r>
      <w:r>
        <w:rPr>
          <w:i/>
          <w:iCs/>
        </w:rPr>
        <w:t xml:space="preserve"> </w:t>
      </w:r>
    </w:p>
    <w:p w14:paraId="1896BB80" w14:textId="41DBF44D" w:rsidR="003E32F5" w:rsidRPr="00497F03" w:rsidRDefault="003E32F5" w:rsidP="003D5B2D">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C3461"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7FA115CB"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D32211">
      <w:rPr>
        <w:b/>
        <w:bCs/>
        <w:color w:val="D85640"/>
        <w:sz w:val="26"/>
        <w:szCs w:val="26"/>
      </w:rPr>
      <w:t>Vayeitzei</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1B4"/>
    <w:rsid w:val="000C39AA"/>
    <w:rsid w:val="000C3F70"/>
    <w:rsid w:val="000C4630"/>
    <w:rsid w:val="000C4B3E"/>
    <w:rsid w:val="000C51B4"/>
    <w:rsid w:val="000C52D5"/>
    <w:rsid w:val="000C5353"/>
    <w:rsid w:val="000C53FB"/>
    <w:rsid w:val="000C5990"/>
    <w:rsid w:val="000C59D1"/>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2950</Words>
  <Characters>14240</Characters>
  <Application>Microsoft Office Word</Application>
  <DocSecurity>0</DocSecurity>
  <Lines>118</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17156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6</cp:revision>
  <cp:lastPrinted>2024-11-14T11:22:00Z</cp:lastPrinted>
  <dcterms:created xsi:type="dcterms:W3CDTF">2024-11-14T11:45:00Z</dcterms:created>
  <dcterms:modified xsi:type="dcterms:W3CDTF">2024-11-18T14:06:00Z</dcterms:modified>
</cp:coreProperties>
</file>