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5CF2C1D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3F307A">
            <w:pPr>
              <w:contextualSpacing/>
              <w:rPr>
                <w:rFonts w:ascii="Arial Black" w:hAnsi="Arial Black" w:cs="David"/>
                <w:b/>
                <w:bCs/>
                <w:iCs/>
                <w:color w:val="993300"/>
                <w:sz w:val="8"/>
                <w:szCs w:val="8"/>
                <w:rtl/>
              </w:rPr>
            </w:pPr>
          </w:p>
          <w:p w14:paraId="4B6E0FD0" w14:textId="12F0C720" w:rsidR="00263195" w:rsidRPr="00D042C1" w:rsidRDefault="00263195" w:rsidP="00974E3A">
            <w:pPr>
              <w:pStyle w:val="a6"/>
              <w:tabs>
                <w:tab w:val="clear" w:pos="4153"/>
              </w:tabs>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231876">
              <w:rPr>
                <w:rFonts w:ascii="Arial Black" w:hAnsi="Arial Black" w:cs="David" w:hint="cs"/>
                <w:b/>
                <w:bCs/>
                <w:iCs/>
                <w:color w:val="960000"/>
                <w:sz w:val="40"/>
                <w:szCs w:val="40"/>
                <w:rtl/>
              </w:rPr>
              <w:t>אמור</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FF53A0">
            <w:pPr>
              <w:ind w:left="312" w:right="454"/>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1344026D">
                  <wp:simplePos x="0" y="0"/>
                  <wp:positionH relativeFrom="column">
                    <wp:posOffset>2935605</wp:posOffset>
                  </wp:positionH>
                  <wp:positionV relativeFrom="paragraph">
                    <wp:posOffset>-352425</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151C2215" w14:textId="24F037E2" w:rsidR="0067429B" w:rsidRPr="00D56285" w:rsidRDefault="0067429B" w:rsidP="00FF53A0">
            <w:pPr>
              <w:ind w:left="312" w:right="454"/>
              <w:jc w:val="center"/>
              <w:rPr>
                <w:rFonts w:ascii="Arial" w:hAnsi="Arial" w:cs="David"/>
                <w:b/>
                <w:bCs/>
                <w:color w:val="0070C0"/>
                <w:sz w:val="34"/>
                <w:szCs w:val="34"/>
                <w:u w:val="single"/>
                <w:rtl/>
              </w:rPr>
            </w:pPr>
            <w:r w:rsidRPr="00D56285">
              <w:rPr>
                <w:rFonts w:ascii="Arial" w:hAnsi="Arial" w:cs="David" w:hint="cs"/>
                <w:b/>
                <w:bCs/>
                <w:color w:val="0070C0"/>
                <w:sz w:val="34"/>
                <w:szCs w:val="34"/>
                <w:u w:val="single"/>
                <w:rtl/>
              </w:rPr>
              <w:t>על אהבה, איבה ורוח רעה במשפחה</w:t>
            </w:r>
          </w:p>
          <w:p w14:paraId="3C30A566" w14:textId="3E373746"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2DD81DBF" w14:textId="77777777" w:rsidR="00FF53A0" w:rsidRPr="0067429B" w:rsidRDefault="00FF53A0" w:rsidP="00FF53A0">
            <w:pPr>
              <w:spacing w:line="259" w:lineRule="auto"/>
              <w:rPr>
                <w:rFonts w:ascii="David" w:hAnsi="David" w:cs="David"/>
                <w:b/>
                <w:bCs/>
                <w:sz w:val="10"/>
                <w:szCs w:val="10"/>
                <w:rtl/>
              </w:rPr>
            </w:pPr>
          </w:p>
          <w:p w14:paraId="59E6261F" w14:textId="77777777" w:rsidR="0067429B" w:rsidRPr="0067429B" w:rsidRDefault="0067429B" w:rsidP="0067429B">
            <w:pPr>
              <w:ind w:left="424"/>
              <w:contextualSpacing/>
              <w:rPr>
                <w:rFonts w:ascii="David" w:eastAsia="Calibri" w:hAnsi="David" w:cs="David"/>
                <w:sz w:val="22"/>
                <w:szCs w:val="22"/>
                <w:rtl/>
              </w:rPr>
            </w:pPr>
            <w:r w:rsidRPr="0067429B">
              <w:rPr>
                <w:rFonts w:ascii="David" w:eastAsia="Calibri" w:hAnsi="David" w:cs="David"/>
                <w:sz w:val="22"/>
                <w:szCs w:val="22"/>
                <w:rtl/>
              </w:rPr>
              <w:t>"</w:t>
            </w:r>
            <w:r w:rsidRPr="0067429B">
              <w:rPr>
                <w:rFonts w:ascii="FrankRuehl" w:eastAsia="Calibri" w:hAnsi="FrankRuehl" w:cs="FrankRuehl"/>
                <w:sz w:val="23"/>
                <w:szCs w:val="23"/>
                <w:rtl/>
              </w:rPr>
              <w:t>וַיֹּאמֶר ד' אֶל מֹשֶׁה אֱמֹר אֶל הַכֹּהֲנִים</w:t>
            </w:r>
            <w:r w:rsidRPr="0067429B">
              <w:rPr>
                <w:rFonts w:ascii="David" w:eastAsia="Calibri" w:hAnsi="David" w:cs="David"/>
                <w:sz w:val="22"/>
                <w:szCs w:val="22"/>
                <w:rtl/>
              </w:rPr>
              <w:t xml:space="preserve">" </w:t>
            </w:r>
            <w:r w:rsidRPr="0067429B">
              <w:rPr>
                <w:rFonts w:ascii="David" w:eastAsia="Calibri" w:hAnsi="David" w:cs="David"/>
                <w:sz w:val="18"/>
                <w:szCs w:val="18"/>
                <w:rtl/>
              </w:rPr>
              <w:t xml:space="preserve">(ויקרא </w:t>
            </w:r>
            <w:proofErr w:type="spellStart"/>
            <w:r w:rsidRPr="0067429B">
              <w:rPr>
                <w:rFonts w:ascii="David" w:eastAsia="Calibri" w:hAnsi="David" w:cs="David"/>
                <w:sz w:val="18"/>
                <w:szCs w:val="18"/>
                <w:rtl/>
              </w:rPr>
              <w:t>כא</w:t>
            </w:r>
            <w:proofErr w:type="spellEnd"/>
            <w:r w:rsidRPr="0067429B">
              <w:rPr>
                <w:rFonts w:ascii="David" w:eastAsia="Calibri" w:hAnsi="David" w:cs="David"/>
                <w:sz w:val="18"/>
                <w:szCs w:val="18"/>
                <w:rtl/>
              </w:rPr>
              <w:t>, א)</w:t>
            </w:r>
            <w:r w:rsidRPr="0067429B">
              <w:rPr>
                <w:rFonts w:ascii="David" w:eastAsia="Calibri" w:hAnsi="David" w:cs="David"/>
                <w:sz w:val="22"/>
                <w:szCs w:val="22"/>
                <w:rtl/>
              </w:rPr>
              <w:t xml:space="preserve"> </w:t>
            </w:r>
          </w:p>
          <w:p w14:paraId="6D515EEE"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 xml:space="preserve">המדרש במקום מקשר </w:t>
            </w:r>
            <w:r w:rsidRPr="0067429B">
              <w:rPr>
                <w:rFonts w:ascii="David" w:eastAsia="Calibri" w:hAnsi="David" w:cs="David" w:hint="cs"/>
                <w:sz w:val="22"/>
                <w:szCs w:val="22"/>
                <w:rtl/>
              </w:rPr>
              <w:t>את הכרזת הפתיחה</w:t>
            </w:r>
            <w:r w:rsidRPr="0067429B">
              <w:rPr>
                <w:rFonts w:ascii="David" w:eastAsia="Calibri" w:hAnsi="David" w:cs="David"/>
                <w:sz w:val="22"/>
                <w:szCs w:val="22"/>
                <w:rtl/>
              </w:rPr>
              <w:t xml:space="preserve"> לשאול בן קיש: "</w:t>
            </w:r>
            <w:proofErr w:type="spellStart"/>
            <w:r w:rsidRPr="0067429B">
              <w:rPr>
                <w:rFonts w:ascii="David" w:eastAsia="Calibri" w:hAnsi="David" w:cs="David"/>
                <w:sz w:val="22"/>
                <w:szCs w:val="22"/>
                <w:rtl/>
              </w:rPr>
              <w:t>א"ר</w:t>
            </w:r>
            <w:proofErr w:type="spellEnd"/>
            <w:r w:rsidRPr="0067429B">
              <w:rPr>
                <w:rFonts w:ascii="David" w:eastAsia="Calibri" w:hAnsi="David" w:cs="David"/>
                <w:sz w:val="22"/>
                <w:szCs w:val="22"/>
                <w:rtl/>
              </w:rPr>
              <w:t xml:space="preserve"> יהושע </w:t>
            </w:r>
            <w:proofErr w:type="spellStart"/>
            <w:r w:rsidRPr="0067429B">
              <w:rPr>
                <w:rFonts w:ascii="David" w:eastAsia="Calibri" w:hAnsi="David" w:cs="David"/>
                <w:sz w:val="22"/>
                <w:szCs w:val="22"/>
                <w:rtl/>
              </w:rPr>
              <w:t>דסכנין</w:t>
            </w:r>
            <w:proofErr w:type="spellEnd"/>
            <w:r w:rsidRPr="0067429B">
              <w:rPr>
                <w:rFonts w:ascii="David" w:eastAsia="Calibri" w:hAnsi="David" w:cs="David"/>
                <w:sz w:val="22"/>
                <w:szCs w:val="22"/>
                <w:rtl/>
              </w:rPr>
              <w:t xml:space="preserve"> בשם ר' לוי מלמד שהראהו הקב"ה למשה דור </w:t>
            </w:r>
            <w:proofErr w:type="spellStart"/>
            <w:r w:rsidRPr="0067429B">
              <w:rPr>
                <w:rFonts w:ascii="David" w:eastAsia="Calibri" w:hAnsi="David" w:cs="David"/>
                <w:sz w:val="22"/>
                <w:szCs w:val="22"/>
                <w:rtl/>
              </w:rPr>
              <w:t>דור</w:t>
            </w:r>
            <w:proofErr w:type="spellEnd"/>
            <w:r w:rsidRPr="0067429B">
              <w:rPr>
                <w:rFonts w:ascii="David" w:eastAsia="Calibri" w:hAnsi="David" w:cs="David"/>
                <w:sz w:val="22"/>
                <w:szCs w:val="22"/>
                <w:rtl/>
              </w:rPr>
              <w:t xml:space="preserve"> ושופטיו, דור </w:t>
            </w:r>
            <w:proofErr w:type="spellStart"/>
            <w:r w:rsidRPr="0067429B">
              <w:rPr>
                <w:rFonts w:ascii="David" w:eastAsia="Calibri" w:hAnsi="David" w:cs="David"/>
                <w:sz w:val="22"/>
                <w:szCs w:val="22"/>
                <w:rtl/>
              </w:rPr>
              <w:t>דור</w:t>
            </w:r>
            <w:proofErr w:type="spellEnd"/>
            <w:r w:rsidRPr="0067429B">
              <w:rPr>
                <w:rFonts w:ascii="David" w:eastAsia="Calibri" w:hAnsi="David" w:cs="David"/>
                <w:sz w:val="22"/>
                <w:szCs w:val="22"/>
                <w:rtl/>
              </w:rPr>
              <w:t xml:space="preserve"> ומלכיו, דור </w:t>
            </w:r>
            <w:proofErr w:type="spellStart"/>
            <w:r w:rsidRPr="0067429B">
              <w:rPr>
                <w:rFonts w:ascii="David" w:eastAsia="Calibri" w:hAnsi="David" w:cs="David"/>
                <w:sz w:val="22"/>
                <w:szCs w:val="22"/>
                <w:rtl/>
              </w:rPr>
              <w:t>דור</w:t>
            </w:r>
            <w:proofErr w:type="spellEnd"/>
            <w:r w:rsidRPr="0067429B">
              <w:rPr>
                <w:rFonts w:ascii="David" w:eastAsia="Calibri" w:hAnsi="David" w:cs="David"/>
                <w:sz w:val="22"/>
                <w:szCs w:val="22"/>
                <w:rtl/>
              </w:rPr>
              <w:t xml:space="preserve"> וחכמיו, דור </w:t>
            </w:r>
            <w:proofErr w:type="spellStart"/>
            <w:r w:rsidRPr="0067429B">
              <w:rPr>
                <w:rFonts w:ascii="David" w:eastAsia="Calibri" w:hAnsi="David" w:cs="David"/>
                <w:sz w:val="22"/>
                <w:szCs w:val="22"/>
                <w:rtl/>
              </w:rPr>
              <w:t>דור</w:t>
            </w:r>
            <w:proofErr w:type="spellEnd"/>
            <w:r w:rsidRPr="0067429B">
              <w:rPr>
                <w:rFonts w:ascii="David" w:eastAsia="Calibri" w:hAnsi="David" w:cs="David"/>
                <w:sz w:val="22"/>
                <w:szCs w:val="22"/>
                <w:rtl/>
              </w:rPr>
              <w:t xml:space="preserve"> ומנהיגיו... והראהו שאול ובניו נופלים בחרב. אמר לפניו (משה) 'מלך ראשון שיעמוד על בניך </w:t>
            </w:r>
            <w:proofErr w:type="spellStart"/>
            <w:r w:rsidRPr="0067429B">
              <w:rPr>
                <w:rFonts w:ascii="David" w:eastAsia="Calibri" w:hAnsi="David" w:cs="David"/>
                <w:sz w:val="22"/>
                <w:szCs w:val="22"/>
                <w:rtl/>
              </w:rPr>
              <w:t>ידקר</w:t>
            </w:r>
            <w:proofErr w:type="spellEnd"/>
            <w:r w:rsidRPr="0067429B">
              <w:rPr>
                <w:rFonts w:ascii="David" w:eastAsia="Calibri" w:hAnsi="David" w:cs="David"/>
                <w:sz w:val="22"/>
                <w:szCs w:val="22"/>
                <w:rtl/>
              </w:rPr>
              <w:t xml:space="preserve"> בחרב'? אמר לו הקב"ה: ולי אתה אומר, </w:t>
            </w:r>
            <w:r w:rsidRPr="0067429B">
              <w:rPr>
                <w:rFonts w:ascii="FrankRuehl" w:eastAsia="Calibri" w:hAnsi="FrankRuehl" w:cs="FrankRuehl"/>
                <w:sz w:val="23"/>
                <w:szCs w:val="23"/>
                <w:rtl/>
              </w:rPr>
              <w:t>אֱמֹר אֶל הַכֹּהֲנִים</w:t>
            </w:r>
            <w:r w:rsidRPr="0067429B">
              <w:rPr>
                <w:rFonts w:ascii="David" w:eastAsia="Calibri" w:hAnsi="David" w:cs="David"/>
                <w:sz w:val="22"/>
                <w:szCs w:val="22"/>
                <w:rtl/>
              </w:rPr>
              <w:t xml:space="preserve"> (מהעיר </w:t>
            </w:r>
            <w:proofErr w:type="spellStart"/>
            <w:r w:rsidRPr="0067429B">
              <w:rPr>
                <w:rFonts w:ascii="David" w:eastAsia="Calibri" w:hAnsi="David" w:cs="David"/>
                <w:sz w:val="22"/>
                <w:szCs w:val="22"/>
                <w:rtl/>
              </w:rPr>
              <w:t>נוב</w:t>
            </w:r>
            <w:proofErr w:type="spellEnd"/>
            <w:r w:rsidRPr="0067429B">
              <w:rPr>
                <w:rFonts w:ascii="David" w:eastAsia="Calibri" w:hAnsi="David" w:cs="David"/>
                <w:sz w:val="22"/>
                <w:szCs w:val="22"/>
                <w:rtl/>
              </w:rPr>
              <w:t xml:space="preserve">) שהרג, שהם מקטרגים אותו" (ויקרא רבה פרשה </w:t>
            </w:r>
            <w:proofErr w:type="spellStart"/>
            <w:r w:rsidRPr="0067429B">
              <w:rPr>
                <w:rFonts w:ascii="David" w:eastAsia="Calibri" w:hAnsi="David" w:cs="David"/>
                <w:sz w:val="22"/>
                <w:szCs w:val="22"/>
                <w:rtl/>
              </w:rPr>
              <w:t>כו</w:t>
            </w:r>
            <w:proofErr w:type="spellEnd"/>
            <w:r w:rsidRPr="0067429B">
              <w:rPr>
                <w:rFonts w:ascii="David" w:eastAsia="Calibri" w:hAnsi="David" w:cs="David"/>
                <w:sz w:val="22"/>
                <w:szCs w:val="22"/>
                <w:rtl/>
              </w:rPr>
              <w:t xml:space="preserve">, סימן ז). (עיינו גם </w:t>
            </w:r>
            <w:proofErr w:type="spellStart"/>
            <w:r w:rsidRPr="0067429B">
              <w:rPr>
                <w:rFonts w:ascii="David" w:eastAsia="Calibri" w:hAnsi="David" w:cs="David"/>
                <w:sz w:val="22"/>
                <w:szCs w:val="22"/>
                <w:rtl/>
              </w:rPr>
              <w:t>בדבריינו</w:t>
            </w:r>
            <w:proofErr w:type="spellEnd"/>
            <w:r w:rsidRPr="0067429B">
              <w:rPr>
                <w:rFonts w:ascii="David" w:eastAsia="Calibri" w:hAnsi="David" w:cs="David"/>
                <w:sz w:val="22"/>
                <w:szCs w:val="22"/>
                <w:rtl/>
              </w:rPr>
              <w:t xml:space="preserve"> </w:t>
            </w:r>
            <w:hyperlink r:id="rId11" w:history="1">
              <w:r w:rsidRPr="0067429B">
                <w:rPr>
                  <w:rFonts w:ascii="David" w:eastAsia="Calibri" w:hAnsi="David" w:cs="David"/>
                  <w:color w:val="0000FF"/>
                  <w:sz w:val="22"/>
                  <w:szCs w:val="22"/>
                  <w:u w:val="single"/>
                  <w:rtl/>
                </w:rPr>
                <w:t>לפרשת אמור תשס"ג,</w:t>
              </w:r>
            </w:hyperlink>
            <w:r w:rsidRPr="0067429B">
              <w:rPr>
                <w:rFonts w:ascii="David" w:eastAsia="Calibri" w:hAnsi="David" w:cs="David"/>
                <w:sz w:val="22"/>
                <w:szCs w:val="22"/>
                <w:rtl/>
              </w:rPr>
              <w:t xml:space="preserve"> </w:t>
            </w:r>
            <w:hyperlink r:id="rId12" w:history="1">
              <w:r w:rsidRPr="0067429B">
                <w:rPr>
                  <w:rFonts w:ascii="David" w:eastAsia="Calibri" w:hAnsi="David" w:cs="David"/>
                  <w:color w:val="0000FF"/>
                  <w:sz w:val="22"/>
                  <w:szCs w:val="22"/>
                  <w:u w:val="single"/>
                  <w:rtl/>
                </w:rPr>
                <w:t>ו</w:t>
              </w:r>
              <w:r w:rsidRPr="0067429B">
                <w:rPr>
                  <w:rFonts w:ascii="David" w:eastAsia="Calibri" w:hAnsi="David" w:cs="David" w:hint="cs"/>
                  <w:color w:val="0000FF"/>
                  <w:sz w:val="22"/>
                  <w:szCs w:val="22"/>
                  <w:u w:val="single"/>
                  <w:rtl/>
                </w:rPr>
                <w:t xml:space="preserve">כן לפרשת אמור </w:t>
              </w:r>
              <w:r w:rsidRPr="0067429B">
                <w:rPr>
                  <w:rFonts w:ascii="David" w:eastAsia="Calibri" w:hAnsi="David" w:cs="David"/>
                  <w:color w:val="0000FF"/>
                  <w:sz w:val="22"/>
                  <w:szCs w:val="22"/>
                  <w:u w:val="single"/>
                  <w:rtl/>
                </w:rPr>
                <w:t>תשס"ט</w:t>
              </w:r>
            </w:hyperlink>
            <w:r w:rsidRPr="0067429B">
              <w:rPr>
                <w:rFonts w:ascii="David" w:eastAsia="Calibri" w:hAnsi="David" w:cs="David"/>
                <w:sz w:val="22"/>
                <w:szCs w:val="22"/>
                <w:rtl/>
              </w:rPr>
              <w:t xml:space="preserve">). </w:t>
            </w:r>
          </w:p>
          <w:p w14:paraId="65B3D156"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hint="cs"/>
                <w:sz w:val="22"/>
                <w:szCs w:val="22"/>
                <w:rtl/>
              </w:rPr>
              <w:t>נסביר</w:t>
            </w:r>
            <w:r w:rsidRPr="0067429B">
              <w:rPr>
                <w:rFonts w:ascii="David" w:eastAsia="Calibri" w:hAnsi="David" w:cs="David"/>
                <w:sz w:val="22"/>
                <w:szCs w:val="22"/>
                <w:rtl/>
              </w:rPr>
              <w:t xml:space="preserve"> את הרקע למעשה נורא זה של שאול, שהרי במעשה זה הפך שאול לראשון ברשימה של מחריבי המרכז הרוחני של עם ישראל</w:t>
            </w:r>
            <w:r w:rsidRPr="0067429B">
              <w:rPr>
                <w:rFonts w:ascii="David" w:eastAsia="Calibri" w:hAnsi="David" w:cs="David" w:hint="cs"/>
                <w:sz w:val="22"/>
                <w:szCs w:val="22"/>
                <w:rtl/>
              </w:rPr>
              <w:t>.</w:t>
            </w:r>
            <w:r w:rsidRPr="0067429B">
              <w:rPr>
                <w:rFonts w:ascii="David" w:eastAsia="Calibri" w:hAnsi="David" w:cs="David"/>
                <w:sz w:val="22"/>
                <w:szCs w:val="22"/>
                <w:rtl/>
              </w:rPr>
              <w:t xml:space="preserve"> נבוכדנצר וטיטוס הצטרפו אליה מאוחר יותר.</w:t>
            </w:r>
          </w:p>
          <w:p w14:paraId="3E72BA44" w14:textId="5EECB81C"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 xml:space="preserve">נעיין בפסוקים </w:t>
            </w:r>
            <w:r w:rsidRPr="0067429B">
              <w:rPr>
                <w:rFonts w:ascii="David" w:eastAsia="Calibri" w:hAnsi="David" w:cs="David" w:hint="cs"/>
                <w:sz w:val="22"/>
                <w:szCs w:val="22"/>
                <w:rtl/>
              </w:rPr>
              <w:t>ש</w:t>
            </w:r>
            <w:r w:rsidRPr="0067429B">
              <w:rPr>
                <w:rFonts w:ascii="David" w:eastAsia="Calibri" w:hAnsi="David" w:cs="David"/>
                <w:sz w:val="22"/>
                <w:szCs w:val="22"/>
                <w:rtl/>
              </w:rPr>
              <w:t xml:space="preserve">קולמוסים </w:t>
            </w:r>
            <w:r w:rsidRPr="0067429B">
              <w:rPr>
                <w:rFonts w:ascii="David" w:eastAsia="Calibri" w:hAnsi="David" w:cs="David" w:hint="cs"/>
                <w:sz w:val="22"/>
                <w:szCs w:val="22"/>
                <w:rtl/>
              </w:rPr>
              <w:t xml:space="preserve">רבים </w:t>
            </w:r>
            <w:r w:rsidRPr="0067429B">
              <w:rPr>
                <w:rFonts w:ascii="David" w:eastAsia="Calibri" w:hAnsi="David" w:cs="David"/>
                <w:sz w:val="22"/>
                <w:szCs w:val="22"/>
                <w:rtl/>
              </w:rPr>
              <w:t>נשתברו בנ</w:t>
            </w:r>
            <w:r w:rsidRPr="0067429B">
              <w:rPr>
                <w:rFonts w:ascii="David" w:eastAsia="Calibri" w:hAnsi="David" w:cs="David" w:hint="cs"/>
                <w:sz w:val="22"/>
                <w:szCs w:val="22"/>
                <w:rtl/>
              </w:rPr>
              <w:t>י</w:t>
            </w:r>
            <w:r w:rsidRPr="0067429B">
              <w:rPr>
                <w:rFonts w:ascii="David" w:eastAsia="Calibri" w:hAnsi="David" w:cs="David"/>
                <w:sz w:val="22"/>
                <w:szCs w:val="22"/>
                <w:rtl/>
              </w:rPr>
              <w:t>סיונות לבאר אותם. מיד לאחר מְשִׁיחַת דוד בסתר</w:t>
            </w:r>
            <w:r w:rsidRPr="0067429B">
              <w:rPr>
                <w:rFonts w:ascii="David" w:eastAsia="Calibri" w:hAnsi="David" w:cs="David" w:hint="cs"/>
                <w:sz w:val="22"/>
                <w:szCs w:val="22"/>
                <w:rtl/>
              </w:rPr>
              <w:t>,</w:t>
            </w:r>
            <w:r w:rsidRPr="0067429B">
              <w:rPr>
                <w:rFonts w:ascii="David" w:eastAsia="Calibri" w:hAnsi="David" w:cs="David"/>
                <w:sz w:val="22"/>
                <w:szCs w:val="22"/>
                <w:rtl/>
              </w:rPr>
              <w:t xml:space="preserve"> הכריז הנביא</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r w:rsidRPr="0067429B">
              <w:rPr>
                <w:rFonts w:ascii="FrankRuehl" w:eastAsia="Calibri" w:hAnsi="FrankRuehl" w:cs="FrankRuehl"/>
                <w:sz w:val="23"/>
                <w:szCs w:val="23"/>
                <w:rtl/>
              </w:rPr>
              <w:t>"וַתִּצְלַח רוּחַ ה' אֶל דָּוִד...  וְרוּחַ ה' סָרָה מֵעִם שָׁאוּל וּבִעֲתַתּוּ רוּחַ רָעָה מֵאֵת ה</w:t>
            </w:r>
            <w:r>
              <w:rPr>
                <w:rFonts w:ascii="FrankRuehl" w:eastAsia="Calibri" w:hAnsi="FrankRuehl" w:cs="FrankRuehl" w:hint="cs"/>
                <w:sz w:val="23"/>
                <w:szCs w:val="23"/>
                <w:rtl/>
              </w:rPr>
              <w:t>' "</w:t>
            </w:r>
            <w:r w:rsidRPr="0067429B">
              <w:rPr>
                <w:rFonts w:ascii="David" w:eastAsia="Calibri" w:hAnsi="David" w:cs="David" w:hint="cs"/>
                <w:sz w:val="22"/>
                <w:szCs w:val="22"/>
                <w:rtl/>
              </w:rPr>
              <w:t xml:space="preserve">. </w:t>
            </w:r>
            <w:r w:rsidRPr="0067429B">
              <w:rPr>
                <w:rFonts w:ascii="David" w:eastAsia="Calibri" w:hAnsi="David" w:cs="David"/>
                <w:sz w:val="22"/>
                <w:szCs w:val="22"/>
                <w:rtl/>
              </w:rPr>
              <w:t xml:space="preserve">כדי </w:t>
            </w:r>
            <w:r w:rsidRPr="0067429B">
              <w:rPr>
                <w:rFonts w:ascii="David" w:eastAsia="Calibri" w:hAnsi="David" w:cs="David" w:hint="cs"/>
                <w:sz w:val="22"/>
                <w:szCs w:val="22"/>
                <w:rtl/>
              </w:rPr>
              <w:t>לצלוח את האתגר</w:t>
            </w:r>
            <w:r w:rsidRPr="0067429B">
              <w:rPr>
                <w:rFonts w:ascii="David" w:eastAsia="Calibri" w:hAnsi="David" w:cs="David"/>
                <w:sz w:val="22"/>
                <w:szCs w:val="22"/>
                <w:rtl/>
              </w:rPr>
              <w:t xml:space="preserve"> הציעו עבדי דוד לחפש מנגן שיצליח להסיר את הרוח הרעה של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המועמד היה דוד בן ישי</w:t>
            </w:r>
            <w:r w:rsidRPr="0067429B">
              <w:rPr>
                <w:rFonts w:ascii="David" w:eastAsia="Calibri" w:hAnsi="David" w:cs="David" w:hint="cs"/>
                <w:sz w:val="22"/>
                <w:szCs w:val="22"/>
                <w:rtl/>
              </w:rPr>
              <w:t>,</w:t>
            </w:r>
            <w:r w:rsidRPr="0067429B">
              <w:rPr>
                <w:rFonts w:ascii="David" w:eastAsia="Calibri" w:hAnsi="David" w:cs="David"/>
                <w:sz w:val="22"/>
                <w:szCs w:val="22"/>
                <w:rtl/>
              </w:rPr>
              <w:t xml:space="preserve"> שהצטרף למקהלה ולתזמורת בארמון של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שאלות קשות מתעוררות עם קריאת הפסוק הבא</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r w:rsidR="000A1A44" w:rsidRPr="000A1A44">
              <w:rPr>
                <w:rFonts w:ascii="FrankRuehl" w:eastAsia="Calibri" w:hAnsi="FrankRuehl" w:cs="FrankRuehl"/>
                <w:sz w:val="23"/>
                <w:szCs w:val="23"/>
                <w:rtl/>
              </w:rPr>
              <w:t>"</w:t>
            </w:r>
            <w:r w:rsidRPr="0067429B">
              <w:rPr>
                <w:rFonts w:ascii="FrankRuehl" w:eastAsia="Calibri" w:hAnsi="FrankRuehl" w:cs="FrankRuehl"/>
                <w:sz w:val="23"/>
                <w:szCs w:val="23"/>
                <w:rtl/>
              </w:rPr>
              <w:t>וַיָּבֹא דָוִד אֶל שָׁאוּל וַיַּעֲמֹד לְפָנָיו וַיֶּאֱהָבֵהוּ מְאֹד וַיְהִי לוֹ נֹשֵׂא כֵלִים"</w:t>
            </w:r>
            <w:r w:rsidRPr="0067429B">
              <w:rPr>
                <w:rFonts w:ascii="David" w:eastAsia="Calibri" w:hAnsi="David" w:cs="David"/>
                <w:sz w:val="22"/>
                <w:szCs w:val="22"/>
                <w:rtl/>
              </w:rPr>
              <w:t xml:space="preserve"> </w:t>
            </w:r>
            <w:r w:rsidRPr="0067429B">
              <w:rPr>
                <w:rFonts w:ascii="David" w:eastAsia="Calibri" w:hAnsi="David" w:cs="David"/>
                <w:sz w:val="18"/>
                <w:szCs w:val="18"/>
                <w:rtl/>
              </w:rPr>
              <w:t xml:space="preserve">(שמואל א </w:t>
            </w:r>
            <w:proofErr w:type="spellStart"/>
            <w:r w:rsidRPr="0067429B">
              <w:rPr>
                <w:rFonts w:ascii="David" w:eastAsia="Calibri" w:hAnsi="David" w:cs="David"/>
                <w:sz w:val="18"/>
                <w:szCs w:val="18"/>
                <w:rtl/>
              </w:rPr>
              <w:t>טז</w:t>
            </w:r>
            <w:proofErr w:type="spellEnd"/>
            <w:r w:rsidRPr="0067429B">
              <w:rPr>
                <w:rFonts w:ascii="David" w:eastAsia="Calibri" w:hAnsi="David" w:cs="David"/>
                <w:sz w:val="18"/>
                <w:szCs w:val="18"/>
                <w:rtl/>
              </w:rPr>
              <w:t xml:space="preserve">, </w:t>
            </w:r>
            <w:proofErr w:type="spellStart"/>
            <w:r w:rsidRPr="0067429B">
              <w:rPr>
                <w:rFonts w:ascii="David" w:eastAsia="Calibri" w:hAnsi="David" w:cs="David"/>
                <w:sz w:val="18"/>
                <w:szCs w:val="18"/>
                <w:rtl/>
              </w:rPr>
              <w:t>יג</w:t>
            </w:r>
            <w:r w:rsidRPr="0067429B">
              <w:rPr>
                <w:rFonts w:ascii="David" w:eastAsia="Calibri" w:hAnsi="David" w:cs="David" w:hint="cs"/>
                <w:sz w:val="18"/>
                <w:szCs w:val="18"/>
                <w:rtl/>
              </w:rPr>
              <w:t>-</w:t>
            </w:r>
            <w:r w:rsidRPr="0067429B">
              <w:rPr>
                <w:rFonts w:ascii="David" w:eastAsia="Calibri" w:hAnsi="David" w:cs="David"/>
                <w:sz w:val="18"/>
                <w:szCs w:val="18"/>
                <w:rtl/>
              </w:rPr>
              <w:t>כא</w:t>
            </w:r>
            <w:proofErr w:type="spellEnd"/>
            <w:r w:rsidRPr="0067429B">
              <w:rPr>
                <w:rFonts w:ascii="David" w:eastAsia="Calibri" w:hAnsi="David" w:cs="David"/>
                <w:sz w:val="18"/>
                <w:szCs w:val="18"/>
                <w:rtl/>
              </w:rPr>
              <w:t>).</w:t>
            </w:r>
            <w:r w:rsidRPr="0067429B">
              <w:rPr>
                <w:rFonts w:ascii="David" w:eastAsia="Calibri" w:hAnsi="David" w:cs="David"/>
                <w:sz w:val="22"/>
                <w:szCs w:val="22"/>
                <w:rtl/>
              </w:rPr>
              <w:t xml:space="preserve"> הכתוב לא פירש מי אהב את מי, ואם הכוונה ששאול אהב את דוד, לא ברורה השאלה </w:t>
            </w:r>
            <w:r w:rsidRPr="0067429B">
              <w:rPr>
                <w:rFonts w:ascii="FrankRuehl" w:eastAsia="Calibri" w:hAnsi="FrankRuehl" w:cs="FrankRuehl"/>
                <w:sz w:val="23"/>
                <w:szCs w:val="23"/>
                <w:rtl/>
              </w:rPr>
              <w:t>בֶּן מִי זֶה הַנַּעַר</w:t>
            </w:r>
            <w:r w:rsidRPr="0067429B">
              <w:rPr>
                <w:rFonts w:ascii="David" w:eastAsia="Calibri" w:hAnsi="David" w:cs="David"/>
                <w:sz w:val="22"/>
                <w:szCs w:val="22"/>
                <w:rtl/>
              </w:rPr>
              <w:t xml:space="preserve"> </w:t>
            </w:r>
            <w:r w:rsidRPr="0067429B">
              <w:rPr>
                <w:rFonts w:ascii="David" w:eastAsia="Calibri" w:hAnsi="David" w:cs="David"/>
                <w:sz w:val="18"/>
                <w:szCs w:val="18"/>
                <w:rtl/>
              </w:rPr>
              <w:t xml:space="preserve">(שם, </w:t>
            </w:r>
            <w:proofErr w:type="spellStart"/>
            <w:r w:rsidRPr="0067429B">
              <w:rPr>
                <w:rFonts w:ascii="David" w:eastAsia="Calibri" w:hAnsi="David" w:cs="David"/>
                <w:sz w:val="18"/>
                <w:szCs w:val="18"/>
                <w:rtl/>
              </w:rPr>
              <w:t>יז</w:t>
            </w:r>
            <w:proofErr w:type="spellEnd"/>
            <w:r w:rsidRPr="0067429B">
              <w:rPr>
                <w:rFonts w:ascii="David" w:eastAsia="Calibri" w:hAnsi="David" w:cs="David"/>
                <w:sz w:val="18"/>
                <w:szCs w:val="18"/>
                <w:rtl/>
              </w:rPr>
              <w:t xml:space="preserve">, </w:t>
            </w:r>
            <w:proofErr w:type="spellStart"/>
            <w:r w:rsidRPr="0067429B">
              <w:rPr>
                <w:rFonts w:ascii="David" w:eastAsia="Calibri" w:hAnsi="David" w:cs="David"/>
                <w:sz w:val="18"/>
                <w:szCs w:val="18"/>
                <w:rtl/>
              </w:rPr>
              <w:t>נה</w:t>
            </w:r>
            <w:proofErr w:type="spellEnd"/>
            <w:r w:rsidRPr="0067429B">
              <w:rPr>
                <w:rFonts w:ascii="David" w:eastAsia="Calibri" w:hAnsi="David" w:cs="David"/>
                <w:sz w:val="18"/>
                <w:szCs w:val="18"/>
                <w:rtl/>
              </w:rPr>
              <w:t>)</w:t>
            </w:r>
            <w:r w:rsidRPr="0067429B">
              <w:rPr>
                <w:rFonts w:ascii="David" w:eastAsia="Calibri" w:hAnsi="David" w:cs="David"/>
                <w:sz w:val="22"/>
                <w:szCs w:val="22"/>
                <w:rtl/>
              </w:rPr>
              <w:t xml:space="preserve"> המוזכרת מיד בפרק הבא</w:t>
            </w:r>
            <w:r w:rsidRPr="0067429B">
              <w:rPr>
                <w:rFonts w:ascii="David" w:eastAsia="Calibri" w:hAnsi="David" w:cs="David" w:hint="cs"/>
                <w:sz w:val="22"/>
                <w:szCs w:val="22"/>
                <w:rtl/>
              </w:rPr>
              <w:t>,</w:t>
            </w:r>
            <w:r w:rsidRPr="0067429B">
              <w:rPr>
                <w:rFonts w:ascii="David" w:eastAsia="Calibri" w:hAnsi="David" w:cs="David"/>
                <w:sz w:val="22"/>
                <w:szCs w:val="22"/>
                <w:rtl/>
              </w:rPr>
              <w:t xml:space="preserve"> אחרי שדוד הרג את גול</w:t>
            </w:r>
            <w:r w:rsidRPr="0067429B">
              <w:rPr>
                <w:rFonts w:ascii="David" w:eastAsia="Calibri" w:hAnsi="David" w:cs="David" w:hint="cs"/>
                <w:sz w:val="22"/>
                <w:szCs w:val="22"/>
                <w:rtl/>
              </w:rPr>
              <w:t>י</w:t>
            </w:r>
            <w:r w:rsidRPr="0067429B">
              <w:rPr>
                <w:rFonts w:ascii="David" w:eastAsia="Calibri" w:hAnsi="David" w:cs="David"/>
                <w:sz w:val="22"/>
                <w:szCs w:val="22"/>
                <w:rtl/>
              </w:rPr>
              <w:t>ית. מה פשר השאלה אם שאול כבר אהב את דוד</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p>
          <w:p w14:paraId="52609D5E"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 xml:space="preserve">אומנם </w:t>
            </w:r>
            <w:proofErr w:type="spellStart"/>
            <w:r w:rsidRPr="0067429B">
              <w:rPr>
                <w:rFonts w:ascii="David" w:eastAsia="Calibri" w:hAnsi="David" w:cs="David"/>
                <w:sz w:val="22"/>
                <w:szCs w:val="22"/>
                <w:rtl/>
              </w:rPr>
              <w:t>בסוגיא</w:t>
            </w:r>
            <w:proofErr w:type="spellEnd"/>
            <w:r w:rsidRPr="0067429B">
              <w:rPr>
                <w:rFonts w:ascii="David" w:eastAsia="Calibri" w:hAnsi="David" w:cs="David"/>
                <w:sz w:val="22"/>
                <w:szCs w:val="22"/>
                <w:rtl/>
              </w:rPr>
              <w:t xml:space="preserve"> במסכת יבמות (</w:t>
            </w:r>
            <w:proofErr w:type="spellStart"/>
            <w:r w:rsidRPr="0067429B">
              <w:rPr>
                <w:rFonts w:ascii="David" w:eastAsia="Calibri" w:hAnsi="David" w:cs="David"/>
                <w:sz w:val="22"/>
                <w:szCs w:val="22"/>
                <w:rtl/>
              </w:rPr>
              <w:t>עו</w:t>
            </w:r>
            <w:proofErr w:type="spellEnd"/>
            <w:r w:rsidRPr="0067429B">
              <w:rPr>
                <w:rFonts w:ascii="David" w:eastAsia="Calibri" w:hAnsi="David" w:cs="David"/>
                <w:sz w:val="22"/>
                <w:szCs w:val="22"/>
                <w:rtl/>
              </w:rPr>
              <w:t xml:space="preserve"> ע"ב) הגמרא מקשה זאת ומתרצת, אבל אחרי בקשת המחילה עדיין קשה. לכן</w:t>
            </w:r>
            <w:r w:rsidRPr="0067429B">
              <w:rPr>
                <w:rFonts w:ascii="David" w:eastAsia="Calibri" w:hAnsi="David" w:cs="David" w:hint="cs"/>
                <w:sz w:val="22"/>
                <w:szCs w:val="22"/>
                <w:rtl/>
              </w:rPr>
              <w:t>,</w:t>
            </w:r>
            <w:r w:rsidRPr="0067429B">
              <w:rPr>
                <w:rFonts w:ascii="David" w:eastAsia="Calibri" w:hAnsi="David" w:cs="David"/>
                <w:sz w:val="22"/>
                <w:szCs w:val="22"/>
                <w:rtl/>
              </w:rPr>
              <w:t xml:space="preserve"> נציע כי דוד הוא שאהב את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ושאול לא הכירו אישית אלא אישר את הכללתו בצוות המנגנים והמשוררים. נביא הוכחה נוספת לכך שדוד אהב את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ועוד יותר</w:t>
            </w:r>
            <w:r w:rsidRPr="0067429B">
              <w:rPr>
                <w:rFonts w:ascii="David" w:eastAsia="Calibri" w:hAnsi="David" w:cs="David" w:hint="cs"/>
                <w:sz w:val="22"/>
                <w:szCs w:val="22"/>
                <w:rtl/>
              </w:rPr>
              <w:t>,</w:t>
            </w:r>
            <w:r w:rsidRPr="0067429B">
              <w:rPr>
                <w:rFonts w:ascii="David" w:eastAsia="Calibri" w:hAnsi="David" w:cs="David"/>
                <w:sz w:val="22"/>
                <w:szCs w:val="22"/>
                <w:rtl/>
              </w:rPr>
              <w:t xml:space="preserve"> אפילו ראה בו אבא! אחרי שדוד לא פגע בשאול בתוך המערה</w:t>
            </w:r>
            <w:r w:rsidRPr="0067429B">
              <w:rPr>
                <w:rFonts w:ascii="David" w:eastAsia="Calibri" w:hAnsi="David" w:cs="David" w:hint="cs"/>
                <w:sz w:val="22"/>
                <w:szCs w:val="22"/>
                <w:rtl/>
              </w:rPr>
              <w:t>,</w:t>
            </w:r>
            <w:r w:rsidRPr="0067429B">
              <w:rPr>
                <w:rFonts w:ascii="David" w:eastAsia="Calibri" w:hAnsi="David" w:cs="David"/>
                <w:sz w:val="22"/>
                <w:szCs w:val="22"/>
                <w:rtl/>
              </w:rPr>
              <w:t xml:space="preserve"> הוא פונה אל שאול ומנסה לשכנעו להפסיק לרדוף אחריו ולנסות לחסלו: </w:t>
            </w:r>
            <w:r w:rsidRPr="0067429B">
              <w:rPr>
                <w:rFonts w:ascii="FrankRuehl" w:eastAsia="Calibri" w:hAnsi="FrankRuehl" w:cs="FrankRuehl"/>
                <w:sz w:val="23"/>
                <w:szCs w:val="23"/>
                <w:rtl/>
              </w:rPr>
              <w:t>"וְ</w:t>
            </w:r>
            <w:r w:rsidRPr="0067429B">
              <w:rPr>
                <w:rFonts w:ascii="FrankRuehl" w:eastAsia="Calibri" w:hAnsi="FrankRuehl" w:cs="FrankRuehl"/>
                <w:b/>
                <w:bCs/>
                <w:sz w:val="23"/>
                <w:szCs w:val="23"/>
                <w:rtl/>
              </w:rPr>
              <w:t xml:space="preserve">אָבִי </w:t>
            </w:r>
            <w:r w:rsidRPr="0067429B">
              <w:rPr>
                <w:rFonts w:ascii="FrankRuehl" w:eastAsia="Calibri" w:hAnsi="FrankRuehl" w:cs="FrankRuehl"/>
                <w:sz w:val="23"/>
                <w:szCs w:val="23"/>
                <w:rtl/>
              </w:rPr>
              <w:t xml:space="preserve">רְאֵה גַּם רְאֵה אֶת כְּנַף מְעִילְךָ בְּיָדִי כִּי בְּכָרְתִי אֶת כְּנַף מְעִילְךָ וְלֹא הֲרַגְתִּיךָ דַּע וּרְאֵה כִּי אֵין בְּיָדִי רָעָה וָפֶשַׁע וְלֹא חָטָאתִי לָךְ וְאַתָּה צֹדֶה אֶת נַפְשִׁי לְקַחְתָּהּ" </w:t>
            </w:r>
            <w:r w:rsidRPr="0067429B">
              <w:rPr>
                <w:rFonts w:ascii="David" w:eastAsia="Calibri" w:hAnsi="David" w:cs="David"/>
                <w:sz w:val="18"/>
                <w:szCs w:val="18"/>
                <w:rtl/>
              </w:rPr>
              <w:t>(שם, כד, יא).</w:t>
            </w:r>
            <w:r w:rsidRPr="0067429B">
              <w:rPr>
                <w:rFonts w:ascii="FrankRuehl" w:eastAsia="Calibri" w:hAnsi="FrankRuehl" w:cs="FrankRuehl"/>
                <w:sz w:val="23"/>
                <w:szCs w:val="23"/>
                <w:rtl/>
              </w:rPr>
              <w:t xml:space="preserve"> </w:t>
            </w:r>
            <w:r w:rsidRPr="0067429B">
              <w:rPr>
                <w:rFonts w:ascii="David" w:eastAsia="Calibri" w:hAnsi="David" w:cs="David"/>
                <w:sz w:val="22"/>
                <w:szCs w:val="22"/>
                <w:rtl/>
              </w:rPr>
              <w:t>דוד קורא לשאול 'אבא'!!! גם שאול קורא לדוד באותו כיוון</w:t>
            </w:r>
            <w:r w:rsidRPr="0067429B">
              <w:rPr>
                <w:rFonts w:ascii="David" w:eastAsia="Calibri" w:hAnsi="David" w:cs="David"/>
                <w:sz w:val="22"/>
                <w:szCs w:val="22"/>
              </w:rPr>
              <w:t xml:space="preserve"> </w:t>
            </w:r>
            <w:r w:rsidRPr="0067429B">
              <w:rPr>
                <w:rFonts w:ascii="David" w:eastAsia="Calibri" w:hAnsi="David" w:cs="David"/>
                <w:sz w:val="22"/>
                <w:szCs w:val="22"/>
                <w:rtl/>
              </w:rPr>
              <w:t xml:space="preserve">'בן': </w:t>
            </w:r>
            <w:r w:rsidRPr="0067429B">
              <w:rPr>
                <w:rFonts w:ascii="FrankRuehl" w:eastAsia="Calibri" w:hAnsi="FrankRuehl" w:cs="FrankRuehl"/>
                <w:sz w:val="23"/>
                <w:szCs w:val="23"/>
                <w:rtl/>
              </w:rPr>
              <w:t xml:space="preserve">"וַיְהִי כְּכַלּוֹת דָּוִד לְדַבֵּר אֶת הַדְּבָרִים הָאֵלֶּה אֶל שָׁאוּל וַיֹּאמֶר שָׁאוּל הֲקֹלְךָ זֶה </w:t>
            </w:r>
            <w:r w:rsidRPr="0067429B">
              <w:rPr>
                <w:rFonts w:ascii="FrankRuehl" w:eastAsia="Calibri" w:hAnsi="FrankRuehl" w:cs="FrankRuehl"/>
                <w:b/>
                <w:bCs/>
                <w:sz w:val="23"/>
                <w:szCs w:val="23"/>
                <w:rtl/>
              </w:rPr>
              <w:t>בְּנִי</w:t>
            </w:r>
            <w:r w:rsidRPr="0067429B">
              <w:rPr>
                <w:rFonts w:ascii="FrankRuehl" w:eastAsia="Calibri" w:hAnsi="FrankRuehl" w:cs="FrankRuehl"/>
                <w:sz w:val="23"/>
                <w:szCs w:val="23"/>
                <w:rtl/>
              </w:rPr>
              <w:t xml:space="preserve"> דָוִד </w:t>
            </w:r>
            <w:proofErr w:type="spellStart"/>
            <w:r w:rsidRPr="0067429B">
              <w:rPr>
                <w:rFonts w:ascii="FrankRuehl" w:eastAsia="Calibri" w:hAnsi="FrankRuehl" w:cs="FrankRuehl"/>
                <w:sz w:val="23"/>
                <w:szCs w:val="23"/>
                <w:rtl/>
              </w:rPr>
              <w:t>וַיִּשָּׂא</w:t>
            </w:r>
            <w:proofErr w:type="spellEnd"/>
            <w:r w:rsidRPr="0067429B">
              <w:rPr>
                <w:rFonts w:ascii="FrankRuehl" w:eastAsia="Calibri" w:hAnsi="FrankRuehl" w:cs="FrankRuehl"/>
                <w:sz w:val="23"/>
                <w:szCs w:val="23"/>
                <w:rtl/>
              </w:rPr>
              <w:t xml:space="preserve"> שָׁאוּל קֹלוֹ </w:t>
            </w:r>
            <w:proofErr w:type="spellStart"/>
            <w:r w:rsidRPr="0067429B">
              <w:rPr>
                <w:rFonts w:ascii="FrankRuehl" w:eastAsia="Calibri" w:hAnsi="FrankRuehl" w:cs="FrankRuehl"/>
                <w:sz w:val="23"/>
                <w:szCs w:val="23"/>
                <w:rtl/>
              </w:rPr>
              <w:t>וַיֵּבְך</w:t>
            </w:r>
            <w:proofErr w:type="spellEnd"/>
            <w:r w:rsidRPr="0067429B">
              <w:rPr>
                <w:rFonts w:ascii="FrankRuehl" w:eastAsia="Calibri" w:hAnsi="FrankRuehl" w:cs="FrankRuehl"/>
                <w:sz w:val="23"/>
                <w:szCs w:val="23"/>
                <w:rtl/>
              </w:rPr>
              <w:t>ְּ"</w:t>
            </w:r>
            <w:r w:rsidRPr="0067429B">
              <w:rPr>
                <w:rFonts w:ascii="David" w:eastAsia="Calibri" w:hAnsi="David" w:cs="David"/>
                <w:sz w:val="22"/>
                <w:szCs w:val="22"/>
                <w:rtl/>
              </w:rPr>
              <w:t xml:space="preserve"> </w:t>
            </w:r>
            <w:r w:rsidRPr="0067429B">
              <w:rPr>
                <w:rFonts w:ascii="David" w:eastAsia="Calibri" w:hAnsi="David" w:cs="David"/>
                <w:sz w:val="18"/>
                <w:szCs w:val="18"/>
                <w:rtl/>
              </w:rPr>
              <w:t xml:space="preserve">(שם, שם </w:t>
            </w:r>
            <w:proofErr w:type="spellStart"/>
            <w:r w:rsidRPr="0067429B">
              <w:rPr>
                <w:rFonts w:ascii="David" w:eastAsia="Calibri" w:hAnsi="David" w:cs="David"/>
                <w:sz w:val="18"/>
                <w:szCs w:val="18"/>
                <w:rtl/>
              </w:rPr>
              <w:t>טז</w:t>
            </w:r>
            <w:proofErr w:type="spellEnd"/>
            <w:r w:rsidRPr="0067429B">
              <w:rPr>
                <w:rFonts w:ascii="David" w:eastAsia="Calibri" w:hAnsi="David" w:cs="David"/>
                <w:sz w:val="18"/>
                <w:szCs w:val="18"/>
                <w:rtl/>
              </w:rPr>
              <w:t xml:space="preserve">). </w:t>
            </w:r>
          </w:p>
          <w:p w14:paraId="5F81F0BE"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היה זה בבחינת תיקון בעבור דוד</w:t>
            </w:r>
            <w:r w:rsidRPr="0067429B">
              <w:rPr>
                <w:rFonts w:ascii="David" w:eastAsia="Calibri" w:hAnsi="David" w:cs="David" w:hint="cs"/>
                <w:sz w:val="22"/>
                <w:szCs w:val="22"/>
                <w:rtl/>
              </w:rPr>
              <w:t>,</w:t>
            </w:r>
            <w:r w:rsidRPr="0067429B">
              <w:rPr>
                <w:rFonts w:ascii="David" w:eastAsia="Calibri" w:hAnsi="David" w:cs="David"/>
                <w:sz w:val="22"/>
                <w:szCs w:val="22"/>
                <w:rtl/>
              </w:rPr>
              <w:t xml:space="preserve"> כמי שהוריו שלחו אותו מהבית לשדה</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r w:rsidRPr="0067429B">
              <w:rPr>
                <w:rFonts w:ascii="David" w:eastAsia="Calibri" w:hAnsi="David" w:cs="David" w:hint="cs"/>
                <w:sz w:val="22"/>
                <w:szCs w:val="22"/>
                <w:rtl/>
              </w:rPr>
              <w:t xml:space="preserve">הוא </w:t>
            </w:r>
            <w:r w:rsidRPr="0067429B">
              <w:rPr>
                <w:rFonts w:ascii="David" w:eastAsia="Calibri" w:hAnsi="David" w:cs="David"/>
                <w:sz w:val="22"/>
                <w:szCs w:val="22"/>
                <w:rtl/>
              </w:rPr>
              <w:t>הכריז</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r w:rsidRPr="0067429B">
              <w:rPr>
                <w:rFonts w:ascii="FrankRuehl" w:eastAsia="Calibri" w:hAnsi="FrankRuehl" w:cs="FrankRuehl"/>
                <w:sz w:val="23"/>
                <w:szCs w:val="23"/>
                <w:rtl/>
              </w:rPr>
              <w:t>"כִּי אָבִי וְאִמִּי עֲזָבוּנִי"</w:t>
            </w:r>
            <w:r w:rsidRPr="0067429B">
              <w:rPr>
                <w:rFonts w:ascii="David" w:eastAsia="Calibri" w:hAnsi="David" w:cs="David"/>
                <w:sz w:val="22"/>
                <w:szCs w:val="22"/>
                <w:rtl/>
              </w:rPr>
              <w:t xml:space="preserve"> </w:t>
            </w:r>
            <w:r w:rsidRPr="0067429B">
              <w:rPr>
                <w:rFonts w:ascii="David" w:eastAsia="Calibri" w:hAnsi="David" w:cs="David"/>
                <w:sz w:val="18"/>
                <w:szCs w:val="18"/>
                <w:rtl/>
              </w:rPr>
              <w:t xml:space="preserve">(תהלים </w:t>
            </w:r>
            <w:proofErr w:type="spellStart"/>
            <w:r w:rsidRPr="0067429B">
              <w:rPr>
                <w:rFonts w:ascii="David" w:eastAsia="Calibri" w:hAnsi="David" w:cs="David"/>
                <w:sz w:val="18"/>
                <w:szCs w:val="18"/>
                <w:rtl/>
              </w:rPr>
              <w:t>כז</w:t>
            </w:r>
            <w:proofErr w:type="spellEnd"/>
            <w:r w:rsidRPr="0067429B">
              <w:rPr>
                <w:rFonts w:ascii="David" w:eastAsia="Calibri" w:hAnsi="David" w:cs="David"/>
                <w:sz w:val="18"/>
                <w:szCs w:val="18"/>
                <w:rtl/>
              </w:rPr>
              <w:t>, י).</w:t>
            </w:r>
            <w:r w:rsidRPr="0067429B">
              <w:rPr>
                <w:rFonts w:ascii="David" w:eastAsia="Calibri" w:hAnsi="David" w:cs="David"/>
                <w:sz w:val="22"/>
                <w:szCs w:val="22"/>
                <w:rtl/>
              </w:rPr>
              <w:t xml:space="preserve"> גם עבור שאול הייתה בכך נחמה. הוא הבין שבנו בכורו יהונתן לא ישב על כסאו</w:t>
            </w:r>
            <w:r w:rsidRPr="0067429B">
              <w:rPr>
                <w:rFonts w:ascii="David" w:eastAsia="Calibri" w:hAnsi="David" w:cs="David" w:hint="cs"/>
                <w:sz w:val="22"/>
                <w:szCs w:val="22"/>
                <w:rtl/>
              </w:rPr>
              <w:t>,</w:t>
            </w:r>
            <w:r w:rsidRPr="0067429B">
              <w:rPr>
                <w:rFonts w:ascii="David" w:eastAsia="Calibri" w:hAnsi="David" w:cs="David"/>
                <w:sz w:val="22"/>
                <w:szCs w:val="22"/>
                <w:rtl/>
              </w:rPr>
              <w:t xml:space="preserve"> אבל בנו המאומץ יעשה זאת. לצערנו</w:t>
            </w:r>
            <w:r w:rsidRPr="0067429B">
              <w:rPr>
                <w:rFonts w:ascii="David" w:eastAsia="Calibri" w:hAnsi="David" w:cs="David" w:hint="cs"/>
                <w:sz w:val="22"/>
                <w:szCs w:val="22"/>
                <w:rtl/>
              </w:rPr>
              <w:t>,</w:t>
            </w:r>
            <w:r w:rsidRPr="0067429B">
              <w:rPr>
                <w:rFonts w:ascii="David" w:eastAsia="Calibri" w:hAnsi="David" w:cs="David"/>
                <w:sz w:val="22"/>
                <w:szCs w:val="22"/>
                <w:rtl/>
              </w:rPr>
              <w:t xml:space="preserve"> הרוּחַ רָעָה ביעתה והמשיכה לדחוף את שאול לנסות לפגע בדוד</w:t>
            </w:r>
            <w:r w:rsidRPr="0067429B">
              <w:rPr>
                <w:rFonts w:ascii="David" w:eastAsia="Calibri" w:hAnsi="David" w:cs="David" w:hint="cs"/>
                <w:sz w:val="22"/>
                <w:szCs w:val="22"/>
                <w:rtl/>
              </w:rPr>
              <w:t>.</w:t>
            </w:r>
            <w:r w:rsidRPr="0067429B">
              <w:rPr>
                <w:rFonts w:ascii="David" w:eastAsia="Calibri" w:hAnsi="David" w:cs="David"/>
                <w:sz w:val="22"/>
                <w:szCs w:val="22"/>
                <w:rtl/>
              </w:rPr>
              <w:t xml:space="preserve"> כך מובן גם מדוע עזרת הכהן הגדול מנוב הרתיחה את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הוא ראה בכך עזרה לבן בוגד. הקירבה והקינאה יצרה מתח הפסיכולוגי. שאול נקרע בין רגשותיו הסותרים. המתח בין היחס לדוד כ'בן' והיחס אליו כ'בוגד', המשיך להוציא את שאול משיווי משקל. בגידה מצד בן משפחה קרוב, הרבה יותר כואבת, הרוח הרעה 'חגגה'. </w:t>
            </w:r>
          </w:p>
          <w:p w14:paraId="16FDA1D0" w14:textId="65AEE635"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בהמשך</w:t>
            </w:r>
            <w:r w:rsidRPr="0067429B">
              <w:rPr>
                <w:rFonts w:ascii="David" w:eastAsia="Calibri" w:hAnsi="David" w:cs="David" w:hint="cs"/>
                <w:sz w:val="22"/>
                <w:szCs w:val="22"/>
                <w:rtl/>
              </w:rPr>
              <w:t>,</w:t>
            </w:r>
            <w:r w:rsidRPr="0067429B">
              <w:rPr>
                <w:rFonts w:ascii="David" w:eastAsia="Calibri" w:hAnsi="David" w:cs="David"/>
                <w:sz w:val="22"/>
                <w:szCs w:val="22"/>
                <w:rtl/>
              </w:rPr>
              <w:t xml:space="preserve"> לאחר ששאול נתן את מיכל בתו </w:t>
            </w:r>
            <w:r w:rsidRPr="0067429B">
              <w:rPr>
                <w:rFonts w:ascii="David" w:eastAsia="Calibri" w:hAnsi="David" w:cs="David" w:hint="cs"/>
                <w:sz w:val="22"/>
                <w:szCs w:val="22"/>
                <w:rtl/>
              </w:rPr>
              <w:t xml:space="preserve">- </w:t>
            </w:r>
            <w:r w:rsidRPr="0067429B">
              <w:rPr>
                <w:rFonts w:ascii="David" w:eastAsia="Calibri" w:hAnsi="David" w:cs="David"/>
                <w:sz w:val="22"/>
                <w:szCs w:val="22"/>
                <w:rtl/>
              </w:rPr>
              <w:t xml:space="preserve">אשת </w:t>
            </w:r>
            <w:r w:rsidRPr="0067429B">
              <w:rPr>
                <w:rFonts w:ascii="David" w:eastAsia="Calibri" w:hAnsi="David" w:cs="David" w:hint="cs"/>
                <w:sz w:val="22"/>
                <w:szCs w:val="22"/>
                <w:rtl/>
              </w:rPr>
              <w:t xml:space="preserve">דוד, </w:t>
            </w:r>
            <w:r w:rsidRPr="0067429B">
              <w:rPr>
                <w:rFonts w:ascii="David" w:eastAsia="Calibri" w:hAnsi="David" w:cs="David"/>
                <w:sz w:val="22"/>
                <w:szCs w:val="22"/>
                <w:rtl/>
              </w:rPr>
              <w:t>לפלטי בן ליש, דוד ראה בכך (ובצדק) הכרזה</w:t>
            </w:r>
            <w:r w:rsidRPr="0067429B">
              <w:rPr>
                <w:rFonts w:ascii="David" w:eastAsia="Calibri" w:hAnsi="David" w:cs="David" w:hint="cs"/>
                <w:sz w:val="22"/>
                <w:szCs w:val="22"/>
                <w:rtl/>
              </w:rPr>
              <w:t>:</w:t>
            </w:r>
            <w:r w:rsidRPr="0067429B">
              <w:rPr>
                <w:rFonts w:ascii="David" w:eastAsia="Calibri" w:hAnsi="David" w:cs="David"/>
                <w:sz w:val="22"/>
                <w:szCs w:val="22"/>
                <w:rtl/>
              </w:rPr>
              <w:t xml:space="preserve"> אתה אינך לא בן ולא חתן, אתה מורד במלכות שאחת</w:t>
            </w:r>
            <w:r w:rsidRPr="0067429B">
              <w:rPr>
                <w:rFonts w:ascii="David" w:eastAsia="Calibri" w:hAnsi="David" w:cs="David" w:hint="cs"/>
                <w:sz w:val="22"/>
                <w:szCs w:val="22"/>
                <w:rtl/>
              </w:rPr>
              <w:t xml:space="preserve"> דתו </w:t>
            </w:r>
            <w:r w:rsidRPr="0067429B">
              <w:rPr>
                <w:rFonts w:ascii="David" w:eastAsia="Calibri" w:hAnsi="David" w:cs="David"/>
                <w:sz w:val="22"/>
                <w:szCs w:val="22"/>
                <w:rtl/>
              </w:rPr>
              <w:t xml:space="preserve">להמית. שאול שהמשיך לרודפו </w:t>
            </w:r>
            <w:r w:rsidRPr="0067429B">
              <w:rPr>
                <w:rFonts w:ascii="David" w:eastAsia="Calibri" w:hAnsi="David" w:cs="David" w:hint="cs"/>
                <w:sz w:val="22"/>
                <w:szCs w:val="22"/>
                <w:rtl/>
              </w:rPr>
              <w:t>ממשיך להיקרע</w:t>
            </w:r>
            <w:r w:rsidRPr="0067429B">
              <w:rPr>
                <w:rFonts w:ascii="David" w:eastAsia="Calibri" w:hAnsi="David" w:cs="David"/>
                <w:sz w:val="22"/>
                <w:szCs w:val="22"/>
                <w:rtl/>
              </w:rPr>
              <w:t xml:space="preserve"> מבחינה נפשית בין היחס לדוד כ'בן' לבין היחס לדוד כ'בוגד'. בפגישה הבאה</w:t>
            </w:r>
            <w:r w:rsidRPr="0067429B">
              <w:rPr>
                <w:rFonts w:ascii="David" w:eastAsia="Calibri" w:hAnsi="David" w:cs="David" w:hint="cs"/>
                <w:sz w:val="22"/>
                <w:szCs w:val="22"/>
                <w:rtl/>
              </w:rPr>
              <w:t>,</w:t>
            </w:r>
            <w:r w:rsidRPr="0067429B">
              <w:rPr>
                <w:rFonts w:ascii="David" w:eastAsia="Calibri" w:hAnsi="David" w:cs="David"/>
                <w:sz w:val="22"/>
                <w:szCs w:val="22"/>
                <w:rtl/>
              </w:rPr>
              <w:t xml:space="preserve"> לאחר שדוד הגיע </w:t>
            </w:r>
            <w:r w:rsidRPr="0067429B">
              <w:rPr>
                <w:rFonts w:ascii="FrankRuehl" w:eastAsia="Calibri" w:hAnsi="FrankRuehl" w:cs="FrankRuehl"/>
                <w:sz w:val="23"/>
                <w:szCs w:val="23"/>
                <w:rtl/>
              </w:rPr>
              <w:t>למַּעְגָּל</w:t>
            </w:r>
            <w:r w:rsidRPr="0067429B">
              <w:rPr>
                <w:rFonts w:ascii="David" w:eastAsia="Calibri" w:hAnsi="David" w:cs="David"/>
                <w:sz w:val="22"/>
                <w:szCs w:val="22"/>
                <w:rtl/>
              </w:rPr>
              <w:t xml:space="preserve"> הפנימי ביותר (שם </w:t>
            </w:r>
            <w:proofErr w:type="spellStart"/>
            <w:r w:rsidRPr="0067429B">
              <w:rPr>
                <w:rFonts w:ascii="David" w:eastAsia="Calibri" w:hAnsi="David" w:cs="David"/>
                <w:sz w:val="22"/>
                <w:szCs w:val="22"/>
                <w:rtl/>
              </w:rPr>
              <w:t>כו</w:t>
            </w:r>
            <w:proofErr w:type="spellEnd"/>
            <w:r w:rsidRPr="0067429B">
              <w:rPr>
                <w:rFonts w:ascii="David" w:eastAsia="Calibri" w:hAnsi="David" w:cs="David"/>
                <w:sz w:val="22"/>
                <w:szCs w:val="22"/>
                <w:rtl/>
              </w:rPr>
              <w:t xml:space="preserve">, ז) ולא פגע בשאול, שאול ה'אבא' עדיין קורא לדוד 'בן' אבל דוד כבר לא קורא לו אבא: </w:t>
            </w:r>
            <w:r w:rsidRPr="0067429B">
              <w:rPr>
                <w:rFonts w:ascii="FrankRuehl" w:eastAsia="Calibri" w:hAnsi="FrankRuehl" w:cs="FrankRuehl"/>
                <w:sz w:val="23"/>
                <w:szCs w:val="23"/>
                <w:rtl/>
              </w:rPr>
              <w:t>"</w:t>
            </w:r>
            <w:proofErr w:type="spellStart"/>
            <w:r w:rsidRPr="0067429B">
              <w:rPr>
                <w:rFonts w:ascii="FrankRuehl" w:eastAsia="Calibri" w:hAnsi="FrankRuehl" w:cs="FrankRuehl"/>
                <w:sz w:val="23"/>
                <w:szCs w:val="23"/>
                <w:rtl/>
              </w:rPr>
              <w:t>וַיַּכֵּר</w:t>
            </w:r>
            <w:proofErr w:type="spellEnd"/>
            <w:r w:rsidRPr="0067429B">
              <w:rPr>
                <w:rFonts w:ascii="FrankRuehl" w:eastAsia="Calibri" w:hAnsi="FrankRuehl" w:cs="FrankRuehl"/>
                <w:sz w:val="23"/>
                <w:szCs w:val="23"/>
                <w:rtl/>
              </w:rPr>
              <w:t xml:space="preserve"> שָׁאוּל אֶת קוֹל דָּוִד וַיֹּאמֶר הֲקוֹלְךָ זֶה </w:t>
            </w:r>
            <w:r w:rsidRPr="0067429B">
              <w:rPr>
                <w:rFonts w:ascii="FrankRuehl" w:eastAsia="Calibri" w:hAnsi="FrankRuehl" w:cs="FrankRuehl"/>
                <w:b/>
                <w:bCs/>
                <w:sz w:val="23"/>
                <w:szCs w:val="23"/>
                <w:rtl/>
              </w:rPr>
              <w:t>בְּנִי</w:t>
            </w:r>
            <w:r w:rsidRPr="0067429B">
              <w:rPr>
                <w:rFonts w:ascii="FrankRuehl" w:eastAsia="Calibri" w:hAnsi="FrankRuehl" w:cs="FrankRuehl"/>
                <w:sz w:val="23"/>
                <w:szCs w:val="23"/>
                <w:rtl/>
              </w:rPr>
              <w:t xml:space="preserve"> דָוִד וַיֹּאמֶר דָּוִד קוֹלִי </w:t>
            </w:r>
            <w:r w:rsidRPr="0067429B">
              <w:rPr>
                <w:rFonts w:ascii="FrankRuehl" w:eastAsia="Calibri" w:hAnsi="FrankRuehl" w:cs="FrankRuehl"/>
                <w:b/>
                <w:bCs/>
                <w:sz w:val="23"/>
                <w:szCs w:val="23"/>
                <w:rtl/>
              </w:rPr>
              <w:t>אֲדֹנִי</w:t>
            </w:r>
            <w:r w:rsidRPr="0067429B">
              <w:rPr>
                <w:rFonts w:ascii="FrankRuehl" w:eastAsia="Calibri" w:hAnsi="FrankRuehl" w:cs="FrankRuehl"/>
                <w:sz w:val="23"/>
                <w:szCs w:val="23"/>
                <w:rtl/>
              </w:rPr>
              <w:t xml:space="preserve"> הַמֶּלֶךְ" </w:t>
            </w:r>
            <w:r w:rsidRPr="0067429B">
              <w:rPr>
                <w:rFonts w:ascii="David" w:eastAsia="Calibri" w:hAnsi="David" w:cs="David"/>
                <w:sz w:val="18"/>
                <w:szCs w:val="18"/>
                <w:rtl/>
              </w:rPr>
              <w:t xml:space="preserve">(שם, </w:t>
            </w:r>
            <w:proofErr w:type="spellStart"/>
            <w:r w:rsidRPr="0067429B">
              <w:rPr>
                <w:rFonts w:ascii="David" w:eastAsia="Calibri" w:hAnsi="David" w:cs="David"/>
                <w:sz w:val="18"/>
                <w:szCs w:val="18"/>
                <w:rtl/>
              </w:rPr>
              <w:t>כו</w:t>
            </w:r>
            <w:proofErr w:type="spellEnd"/>
            <w:r w:rsidRPr="0067429B">
              <w:rPr>
                <w:rFonts w:ascii="David" w:eastAsia="Calibri" w:hAnsi="David" w:cs="David"/>
                <w:sz w:val="18"/>
                <w:szCs w:val="18"/>
                <w:rtl/>
              </w:rPr>
              <w:t xml:space="preserve">, </w:t>
            </w:r>
            <w:proofErr w:type="spellStart"/>
            <w:r w:rsidRPr="0067429B">
              <w:rPr>
                <w:rFonts w:ascii="David" w:eastAsia="Calibri" w:hAnsi="David" w:cs="David"/>
                <w:sz w:val="18"/>
                <w:szCs w:val="18"/>
                <w:rtl/>
              </w:rPr>
              <w:t>יז</w:t>
            </w:r>
            <w:proofErr w:type="spellEnd"/>
            <w:r w:rsidRPr="0067429B">
              <w:rPr>
                <w:rFonts w:ascii="David" w:eastAsia="Calibri" w:hAnsi="David" w:cs="David"/>
                <w:sz w:val="18"/>
                <w:szCs w:val="18"/>
                <w:rtl/>
              </w:rPr>
              <w:t>)</w:t>
            </w:r>
            <w:r w:rsidRPr="0067429B">
              <w:rPr>
                <w:rFonts w:ascii="David" w:eastAsia="Calibri" w:hAnsi="David" w:cs="David"/>
                <w:sz w:val="22"/>
                <w:szCs w:val="22"/>
                <w:rtl/>
              </w:rPr>
              <w:t xml:space="preserve"> </w:t>
            </w:r>
            <w:r w:rsidRPr="0067429B">
              <w:rPr>
                <w:rFonts w:ascii="FrankRuehl" w:eastAsia="Calibri" w:hAnsi="FrankRuehl" w:cs="FrankRuehl"/>
                <w:sz w:val="23"/>
                <w:szCs w:val="23"/>
                <w:rtl/>
              </w:rPr>
              <w:t xml:space="preserve">"וַיֹּאמֶר שָׁאוּל אֶל דָּוִד בָּרוּךְ אַתָּה </w:t>
            </w:r>
            <w:r w:rsidRPr="0067429B">
              <w:rPr>
                <w:rFonts w:ascii="FrankRuehl" w:eastAsia="Calibri" w:hAnsi="FrankRuehl" w:cs="FrankRuehl"/>
                <w:b/>
                <w:bCs/>
                <w:sz w:val="23"/>
                <w:szCs w:val="23"/>
                <w:rtl/>
              </w:rPr>
              <w:t>בְּנִי</w:t>
            </w:r>
            <w:r w:rsidRPr="0067429B">
              <w:rPr>
                <w:rFonts w:ascii="FrankRuehl" w:eastAsia="Calibri" w:hAnsi="FrankRuehl" w:cs="FrankRuehl"/>
                <w:sz w:val="23"/>
                <w:szCs w:val="23"/>
                <w:rtl/>
              </w:rPr>
              <w:t xml:space="preserve"> דָוִד"</w:t>
            </w:r>
            <w:r w:rsidRPr="0067429B">
              <w:rPr>
                <w:rFonts w:ascii="David" w:eastAsia="Calibri" w:hAnsi="David" w:cs="David"/>
                <w:sz w:val="22"/>
                <w:szCs w:val="22"/>
                <w:rtl/>
              </w:rPr>
              <w:t xml:space="preserve"> </w:t>
            </w:r>
            <w:r w:rsidRPr="0067429B">
              <w:rPr>
                <w:rFonts w:ascii="David" w:eastAsia="Calibri" w:hAnsi="David" w:cs="David"/>
                <w:sz w:val="18"/>
                <w:szCs w:val="18"/>
                <w:rtl/>
              </w:rPr>
              <w:t>(שם, שם כה).</w:t>
            </w:r>
            <w:r w:rsidRPr="0067429B">
              <w:rPr>
                <w:rFonts w:ascii="David" w:eastAsia="Calibri" w:hAnsi="David" w:cs="David"/>
                <w:sz w:val="22"/>
                <w:szCs w:val="22"/>
                <w:rtl/>
              </w:rPr>
              <w:t xml:space="preserve"> שאול קורא לו פעמיים </w:t>
            </w:r>
            <w:r w:rsidRPr="0067429B">
              <w:rPr>
                <w:rFonts w:ascii="FrankRuehl" w:eastAsia="Calibri" w:hAnsi="FrankRuehl" w:cs="FrankRuehl"/>
                <w:b/>
                <w:bCs/>
                <w:sz w:val="23"/>
                <w:szCs w:val="23"/>
                <w:rtl/>
              </w:rPr>
              <w:t>בְּנִי</w:t>
            </w:r>
            <w:r w:rsidRPr="0067429B">
              <w:rPr>
                <w:rFonts w:ascii="David" w:eastAsia="Calibri" w:hAnsi="David" w:cs="David"/>
                <w:sz w:val="22"/>
                <w:szCs w:val="22"/>
                <w:rtl/>
              </w:rPr>
              <w:t xml:space="preserve"> אבל דוד משיב לו רק </w:t>
            </w:r>
            <w:r w:rsidRPr="0067429B">
              <w:rPr>
                <w:rFonts w:ascii="FrankRuehl" w:eastAsia="Calibri" w:hAnsi="FrankRuehl" w:cs="FrankRuehl"/>
                <w:sz w:val="23"/>
                <w:szCs w:val="23"/>
                <w:rtl/>
              </w:rPr>
              <w:t>ב</w:t>
            </w:r>
            <w:r w:rsidRPr="0067429B">
              <w:rPr>
                <w:rFonts w:ascii="FrankRuehl" w:eastAsia="Calibri" w:hAnsi="FrankRuehl" w:cs="FrankRuehl"/>
                <w:b/>
                <w:bCs/>
                <w:sz w:val="23"/>
                <w:szCs w:val="23"/>
                <w:rtl/>
              </w:rPr>
              <w:t>אֲדֹנִי</w:t>
            </w:r>
            <w:r w:rsidRPr="0067429B">
              <w:rPr>
                <w:rFonts w:ascii="FrankRuehl" w:eastAsia="Calibri" w:hAnsi="FrankRuehl" w:cs="FrankRuehl"/>
                <w:sz w:val="23"/>
                <w:szCs w:val="23"/>
                <w:rtl/>
              </w:rPr>
              <w:t xml:space="preserve"> הַמֶּלֶךְ</w:t>
            </w:r>
            <w:r w:rsidRPr="0067429B">
              <w:rPr>
                <w:rFonts w:ascii="David" w:eastAsia="Calibri" w:hAnsi="David" w:cs="David"/>
                <w:sz w:val="22"/>
                <w:szCs w:val="22"/>
                <w:rtl/>
              </w:rPr>
              <w:t>.</w:t>
            </w:r>
          </w:p>
          <w:p w14:paraId="1B35548C"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 xml:space="preserve">גם התמודדות זו מסבירה "מה בין שאול לדוד" (מדרש תהלים (שוחר טוב) מזמור </w:t>
            </w:r>
            <w:proofErr w:type="spellStart"/>
            <w:r w:rsidRPr="0067429B">
              <w:rPr>
                <w:rFonts w:ascii="David" w:eastAsia="Calibri" w:hAnsi="David" w:cs="David"/>
                <w:sz w:val="22"/>
                <w:szCs w:val="22"/>
                <w:rtl/>
              </w:rPr>
              <w:t>כז</w:t>
            </w:r>
            <w:proofErr w:type="spellEnd"/>
            <w:r w:rsidRPr="0067429B">
              <w:rPr>
                <w:rFonts w:ascii="David" w:eastAsia="Calibri" w:hAnsi="David" w:cs="David"/>
                <w:sz w:val="22"/>
                <w:szCs w:val="22"/>
                <w:rtl/>
              </w:rPr>
              <w:t xml:space="preserve">). </w:t>
            </w:r>
          </w:p>
          <w:p w14:paraId="67F94A3C" w14:textId="77777777" w:rsidR="0067429B" w:rsidRPr="0067429B" w:rsidRDefault="0067429B" w:rsidP="0067429B">
            <w:pPr>
              <w:contextualSpacing/>
              <w:rPr>
                <w:rFonts w:ascii="David" w:eastAsia="Calibri" w:hAnsi="David" w:cs="David"/>
                <w:sz w:val="22"/>
                <w:szCs w:val="22"/>
                <w:rtl/>
              </w:rPr>
            </w:pPr>
            <w:r w:rsidRPr="0067429B">
              <w:rPr>
                <w:rFonts w:ascii="David" w:eastAsia="Calibri" w:hAnsi="David" w:cs="David"/>
                <w:sz w:val="22"/>
                <w:szCs w:val="22"/>
                <w:rtl/>
              </w:rPr>
              <w:t xml:space="preserve">כאשר בנו הטבעי של דוד </w:t>
            </w:r>
            <w:r w:rsidRPr="0067429B">
              <w:rPr>
                <w:rFonts w:ascii="David" w:eastAsia="Calibri" w:hAnsi="David" w:cs="David" w:hint="cs"/>
                <w:sz w:val="22"/>
                <w:szCs w:val="22"/>
                <w:rtl/>
              </w:rPr>
              <w:t>-</w:t>
            </w:r>
            <w:r w:rsidRPr="0067429B">
              <w:rPr>
                <w:rFonts w:ascii="David" w:eastAsia="Calibri" w:hAnsi="David" w:cs="David"/>
                <w:sz w:val="22"/>
                <w:szCs w:val="22"/>
                <w:rtl/>
              </w:rPr>
              <w:t xml:space="preserve"> אבשלום מרד בו וניסה לחסלו, דוד עשה הכל כדי שאבשלום לא יפגע. לאורך כל הדרך דוד לא פגע במי שניסה לעצור אותו בדרך למלכות. הוא גם לא פגע בתומכיו של אבשלום וכדי להשיג אחדות הוא מינה את שר צבאו של אבשלום, </w:t>
            </w:r>
            <w:proofErr w:type="spellStart"/>
            <w:r w:rsidRPr="0067429B">
              <w:rPr>
                <w:rFonts w:ascii="David" w:eastAsia="Calibri" w:hAnsi="David" w:cs="David"/>
                <w:sz w:val="22"/>
                <w:szCs w:val="22"/>
                <w:rtl/>
              </w:rPr>
              <w:t>עמשא</w:t>
            </w:r>
            <w:proofErr w:type="spellEnd"/>
            <w:r w:rsidRPr="0067429B">
              <w:rPr>
                <w:rFonts w:ascii="David" w:eastAsia="Calibri" w:hAnsi="David" w:cs="David"/>
                <w:sz w:val="22"/>
                <w:szCs w:val="22"/>
                <w:rtl/>
              </w:rPr>
              <w:t xml:space="preserve"> בן יתר</w:t>
            </w:r>
            <w:r w:rsidRPr="0067429B">
              <w:rPr>
                <w:rFonts w:ascii="David" w:eastAsia="Calibri" w:hAnsi="David" w:cs="David" w:hint="cs"/>
                <w:sz w:val="22"/>
                <w:szCs w:val="22"/>
                <w:rtl/>
              </w:rPr>
              <w:t>,</w:t>
            </w:r>
            <w:r w:rsidRPr="0067429B">
              <w:rPr>
                <w:rFonts w:ascii="David" w:eastAsia="Calibri" w:hAnsi="David" w:cs="David"/>
                <w:sz w:val="22"/>
                <w:szCs w:val="22"/>
                <w:rtl/>
              </w:rPr>
              <w:t xml:space="preserve"> לשר הצבא של כלל ישראל. שאול לעומתו</w:t>
            </w:r>
            <w:r w:rsidRPr="0067429B">
              <w:rPr>
                <w:rFonts w:ascii="David" w:eastAsia="Calibri" w:hAnsi="David" w:cs="David" w:hint="cs"/>
                <w:sz w:val="22"/>
                <w:szCs w:val="22"/>
                <w:rtl/>
              </w:rPr>
              <w:t>,</w:t>
            </w:r>
            <w:r w:rsidRPr="0067429B">
              <w:rPr>
                <w:rFonts w:ascii="David" w:eastAsia="Calibri" w:hAnsi="David" w:cs="David"/>
                <w:sz w:val="22"/>
                <w:szCs w:val="22"/>
                <w:rtl/>
              </w:rPr>
              <w:t xml:space="preserve"> שאומנם ראה בדוד </w:t>
            </w:r>
            <w:r w:rsidRPr="0067429B">
              <w:rPr>
                <w:rFonts w:ascii="David" w:eastAsia="Calibri" w:hAnsi="David" w:cs="David"/>
                <w:b/>
                <w:bCs/>
                <w:sz w:val="22"/>
                <w:szCs w:val="22"/>
                <w:rtl/>
              </w:rPr>
              <w:t>בן</w:t>
            </w:r>
            <w:r w:rsidRPr="0067429B">
              <w:rPr>
                <w:rFonts w:ascii="David" w:eastAsia="Calibri" w:hAnsi="David" w:cs="David"/>
                <w:sz w:val="22"/>
                <w:szCs w:val="22"/>
                <w:rtl/>
              </w:rPr>
              <w:t xml:space="preserve">, לא פסק לרגע לנסות להורגו ולפגוע בתומכיו. כהני </w:t>
            </w:r>
            <w:proofErr w:type="spellStart"/>
            <w:r w:rsidRPr="0067429B">
              <w:rPr>
                <w:rFonts w:ascii="David" w:eastAsia="Calibri" w:hAnsi="David" w:cs="David"/>
                <w:sz w:val="22"/>
                <w:szCs w:val="22"/>
                <w:rtl/>
              </w:rPr>
              <w:t>נוב</w:t>
            </w:r>
            <w:proofErr w:type="spellEnd"/>
            <w:r w:rsidRPr="0067429B">
              <w:rPr>
                <w:rFonts w:ascii="David" w:eastAsia="Calibri" w:hAnsi="David" w:cs="David"/>
                <w:sz w:val="22"/>
                <w:szCs w:val="22"/>
                <w:rtl/>
              </w:rPr>
              <w:t xml:space="preserve"> שעזרו לדוד</w:t>
            </w:r>
            <w:r w:rsidRPr="0067429B">
              <w:rPr>
                <w:rFonts w:ascii="David" w:eastAsia="Calibri" w:hAnsi="David" w:cs="David" w:hint="cs"/>
                <w:sz w:val="22"/>
                <w:szCs w:val="22"/>
                <w:rtl/>
              </w:rPr>
              <w:t>,</w:t>
            </w:r>
            <w:r w:rsidRPr="0067429B">
              <w:rPr>
                <w:rFonts w:ascii="David" w:eastAsia="Calibri" w:hAnsi="David" w:cs="David"/>
                <w:sz w:val="22"/>
                <w:szCs w:val="22"/>
                <w:rtl/>
              </w:rPr>
              <w:t xml:space="preserve"> שילמו על כך מחיר נורא</w:t>
            </w:r>
            <w:r w:rsidRPr="0067429B">
              <w:rPr>
                <w:rFonts w:ascii="David" w:eastAsia="Calibri" w:hAnsi="David" w:cs="David" w:hint="cs"/>
                <w:sz w:val="22"/>
                <w:szCs w:val="22"/>
                <w:rtl/>
              </w:rPr>
              <w:t>,</w:t>
            </w:r>
            <w:r w:rsidRPr="0067429B">
              <w:rPr>
                <w:rFonts w:ascii="David" w:eastAsia="Calibri" w:hAnsi="David" w:cs="David"/>
                <w:sz w:val="22"/>
                <w:szCs w:val="22"/>
                <w:rtl/>
              </w:rPr>
              <w:t xml:space="preserve"> גם הם הוגדרו מבחינתו של שאול</w:t>
            </w:r>
            <w:r w:rsidRPr="0067429B">
              <w:rPr>
                <w:rFonts w:ascii="David" w:eastAsia="Calibri" w:hAnsi="David" w:cs="David" w:hint="cs"/>
                <w:sz w:val="22"/>
                <w:szCs w:val="22"/>
                <w:rtl/>
              </w:rPr>
              <w:t>,</w:t>
            </w:r>
            <w:r w:rsidRPr="0067429B">
              <w:rPr>
                <w:rFonts w:ascii="David" w:eastAsia="Calibri" w:hAnsi="David" w:cs="David"/>
                <w:sz w:val="22"/>
                <w:szCs w:val="22"/>
                <w:rtl/>
              </w:rPr>
              <w:t xml:space="preserve"> כמו דוד</w:t>
            </w:r>
            <w:r w:rsidRPr="0067429B">
              <w:rPr>
                <w:rFonts w:ascii="David" w:eastAsia="Calibri" w:hAnsi="David" w:cs="David" w:hint="cs"/>
                <w:sz w:val="22"/>
                <w:szCs w:val="22"/>
                <w:rtl/>
              </w:rPr>
              <w:t>,</w:t>
            </w:r>
            <w:r w:rsidRPr="0067429B">
              <w:rPr>
                <w:rFonts w:ascii="David" w:eastAsia="Calibri" w:hAnsi="David" w:cs="David"/>
                <w:sz w:val="22"/>
                <w:szCs w:val="22"/>
                <w:rtl/>
              </w:rPr>
              <w:t xml:space="preserve"> כבוגדים-עמלקים (השוו את </w:t>
            </w:r>
            <w:proofErr w:type="spellStart"/>
            <w:r w:rsidRPr="0067429B">
              <w:rPr>
                <w:rFonts w:ascii="David" w:eastAsia="Calibri" w:hAnsi="David" w:cs="David"/>
                <w:sz w:val="22"/>
                <w:szCs w:val="22"/>
                <w:rtl/>
              </w:rPr>
              <w:t>שמו"א</w:t>
            </w:r>
            <w:proofErr w:type="spellEnd"/>
            <w:r w:rsidRPr="0067429B">
              <w:rPr>
                <w:rFonts w:ascii="David" w:eastAsia="Calibri" w:hAnsi="David" w:cs="David"/>
                <w:sz w:val="22"/>
                <w:szCs w:val="22"/>
                <w:rtl/>
              </w:rPr>
              <w:t xml:space="preserve"> טו, ג לפסוקים המתארים את הפגיעה בכהני </w:t>
            </w:r>
            <w:proofErr w:type="spellStart"/>
            <w:r w:rsidRPr="0067429B">
              <w:rPr>
                <w:rFonts w:ascii="David" w:eastAsia="Calibri" w:hAnsi="David" w:cs="David"/>
                <w:sz w:val="22"/>
                <w:szCs w:val="22"/>
                <w:rtl/>
              </w:rPr>
              <w:t>נ</w:t>
            </w:r>
            <w:r w:rsidRPr="0067429B">
              <w:rPr>
                <w:rFonts w:ascii="David" w:eastAsia="Calibri" w:hAnsi="David" w:cs="David" w:hint="cs"/>
                <w:sz w:val="22"/>
                <w:szCs w:val="22"/>
                <w:rtl/>
              </w:rPr>
              <w:t>ו</w:t>
            </w:r>
            <w:r w:rsidRPr="0067429B">
              <w:rPr>
                <w:rFonts w:ascii="David" w:eastAsia="Calibri" w:hAnsi="David" w:cs="David"/>
                <w:sz w:val="22"/>
                <w:szCs w:val="22"/>
                <w:rtl/>
              </w:rPr>
              <w:t>ב</w:t>
            </w:r>
            <w:proofErr w:type="spellEnd"/>
            <w:r w:rsidRPr="0067429B">
              <w:rPr>
                <w:rFonts w:ascii="David" w:eastAsia="Calibri" w:hAnsi="David" w:cs="David"/>
                <w:sz w:val="22"/>
                <w:szCs w:val="22"/>
                <w:rtl/>
              </w:rPr>
              <w:t xml:space="preserve"> </w:t>
            </w:r>
            <w:proofErr w:type="spellStart"/>
            <w:r w:rsidRPr="0067429B">
              <w:rPr>
                <w:rFonts w:ascii="David" w:eastAsia="Calibri" w:hAnsi="David" w:cs="David"/>
                <w:sz w:val="22"/>
                <w:szCs w:val="22"/>
                <w:rtl/>
              </w:rPr>
              <w:t>שמו"א</w:t>
            </w:r>
            <w:proofErr w:type="spellEnd"/>
            <w:r w:rsidRPr="0067429B">
              <w:rPr>
                <w:rFonts w:ascii="David" w:eastAsia="Calibri" w:hAnsi="David" w:cs="David"/>
                <w:sz w:val="22"/>
                <w:szCs w:val="22"/>
                <w:rtl/>
              </w:rPr>
              <w:t xml:space="preserve"> </w:t>
            </w:r>
            <w:proofErr w:type="spellStart"/>
            <w:r w:rsidRPr="0067429B">
              <w:rPr>
                <w:rFonts w:ascii="David" w:eastAsia="Calibri" w:hAnsi="David" w:cs="David"/>
                <w:sz w:val="22"/>
                <w:szCs w:val="22"/>
                <w:rtl/>
              </w:rPr>
              <w:t>כב</w:t>
            </w:r>
            <w:proofErr w:type="spellEnd"/>
            <w:r w:rsidRPr="0067429B">
              <w:rPr>
                <w:rFonts w:ascii="David" w:eastAsia="Calibri" w:hAnsi="David" w:cs="David"/>
                <w:sz w:val="22"/>
                <w:szCs w:val="22"/>
                <w:rtl/>
              </w:rPr>
              <w:t xml:space="preserve">, </w:t>
            </w:r>
            <w:proofErr w:type="spellStart"/>
            <w:r w:rsidRPr="0067429B">
              <w:rPr>
                <w:rFonts w:ascii="David" w:eastAsia="Calibri" w:hAnsi="David" w:cs="David"/>
                <w:sz w:val="22"/>
                <w:szCs w:val="22"/>
                <w:rtl/>
              </w:rPr>
              <w:t>יט</w:t>
            </w:r>
            <w:proofErr w:type="spellEnd"/>
            <w:r w:rsidRPr="0067429B">
              <w:rPr>
                <w:rFonts w:ascii="David" w:eastAsia="Calibri" w:hAnsi="David" w:cs="David"/>
                <w:sz w:val="22"/>
                <w:szCs w:val="22"/>
                <w:rtl/>
              </w:rPr>
              <w:t xml:space="preserve">). </w:t>
            </w:r>
          </w:p>
          <w:p w14:paraId="61A1D5A8" w14:textId="77777777" w:rsidR="0067429B" w:rsidRPr="0067429B" w:rsidRDefault="0067429B" w:rsidP="0067429B">
            <w:pPr>
              <w:contextualSpacing/>
              <w:rPr>
                <w:rFonts w:ascii="David" w:eastAsia="Calibri" w:hAnsi="David" w:cs="David"/>
                <w:sz w:val="10"/>
                <w:szCs w:val="10"/>
                <w:rtl/>
              </w:rPr>
            </w:pPr>
          </w:p>
          <w:p w14:paraId="188E8386" w14:textId="77777777" w:rsidR="0067429B" w:rsidRPr="0067429B" w:rsidRDefault="0067429B" w:rsidP="0067429B">
            <w:pPr>
              <w:contextualSpacing/>
              <w:jc w:val="center"/>
              <w:rPr>
                <w:rFonts w:ascii="David" w:eastAsia="Calibri" w:hAnsi="David" w:cs="David"/>
                <w:sz w:val="22"/>
                <w:szCs w:val="22"/>
                <w:rtl/>
              </w:rPr>
            </w:pPr>
            <w:r w:rsidRPr="0067429B">
              <w:rPr>
                <w:rFonts w:ascii="David" w:eastAsia="Calibri" w:hAnsi="David" w:cs="David"/>
                <w:sz w:val="22"/>
                <w:szCs w:val="22"/>
                <w:rtl/>
              </w:rPr>
              <w:t>במישור הלאומי כיום, הסכנה הגדולה ביותר היא</w:t>
            </w:r>
            <w:r w:rsidRPr="0067429B">
              <w:rPr>
                <w:rFonts w:ascii="David" w:eastAsia="Calibri" w:hAnsi="David" w:cs="David" w:hint="cs"/>
                <w:sz w:val="22"/>
                <w:szCs w:val="22"/>
                <w:rtl/>
              </w:rPr>
              <w:t>,</w:t>
            </w:r>
            <w:r w:rsidRPr="0067429B">
              <w:rPr>
                <w:rFonts w:ascii="David" w:eastAsia="Calibri" w:hAnsi="David" w:cs="David"/>
                <w:sz w:val="22"/>
                <w:szCs w:val="22"/>
                <w:rtl/>
              </w:rPr>
              <w:t xml:space="preserve"> ח"ו</w:t>
            </w:r>
            <w:r w:rsidRPr="0067429B">
              <w:rPr>
                <w:rFonts w:ascii="David" w:eastAsia="Calibri" w:hAnsi="David" w:cs="David" w:hint="cs"/>
                <w:sz w:val="22"/>
                <w:szCs w:val="22"/>
                <w:rtl/>
              </w:rPr>
              <w:t>,</w:t>
            </w:r>
            <w:r w:rsidRPr="0067429B">
              <w:rPr>
                <w:rFonts w:ascii="David" w:eastAsia="Calibri" w:hAnsi="David" w:cs="David"/>
                <w:sz w:val="22"/>
                <w:szCs w:val="22"/>
                <w:rtl/>
              </w:rPr>
              <w:t xml:space="preserve"> קרע בעם שיגר</w:t>
            </w:r>
            <w:r w:rsidRPr="0067429B">
              <w:rPr>
                <w:rFonts w:ascii="David" w:eastAsia="Calibri" w:hAnsi="David" w:cs="David" w:hint="cs"/>
                <w:sz w:val="22"/>
                <w:szCs w:val="22"/>
                <w:rtl/>
              </w:rPr>
              <w:t>ו</w:t>
            </w:r>
            <w:r w:rsidRPr="0067429B">
              <w:rPr>
                <w:rFonts w:ascii="David" w:eastAsia="Calibri" w:hAnsi="David" w:cs="David"/>
                <w:sz w:val="22"/>
                <w:szCs w:val="22"/>
                <w:rtl/>
              </w:rPr>
              <w:t>ר</w:t>
            </w:r>
            <w:r w:rsidRPr="0067429B">
              <w:rPr>
                <w:rFonts w:ascii="David" w:eastAsia="Calibri" w:hAnsi="David" w:cs="David" w:hint="cs"/>
                <w:sz w:val="22"/>
                <w:szCs w:val="22"/>
                <w:rtl/>
              </w:rPr>
              <w:t>,</w:t>
            </w:r>
            <w:r w:rsidRPr="0067429B">
              <w:rPr>
                <w:rFonts w:ascii="David" w:eastAsia="Calibri" w:hAnsi="David" w:cs="David"/>
                <w:sz w:val="22"/>
                <w:szCs w:val="22"/>
                <w:rtl/>
              </w:rPr>
              <w:t xml:space="preserve"> ר"ל</w:t>
            </w:r>
            <w:r w:rsidRPr="0067429B">
              <w:rPr>
                <w:rFonts w:ascii="David" w:eastAsia="Calibri" w:hAnsi="David" w:cs="David" w:hint="cs"/>
                <w:sz w:val="22"/>
                <w:szCs w:val="22"/>
                <w:rtl/>
              </w:rPr>
              <w:t>,</w:t>
            </w:r>
            <w:r w:rsidRPr="0067429B">
              <w:rPr>
                <w:rFonts w:ascii="David" w:eastAsia="Calibri" w:hAnsi="David" w:cs="David"/>
                <w:sz w:val="22"/>
                <w:szCs w:val="22"/>
                <w:rtl/>
              </w:rPr>
              <w:t xml:space="preserve"> למלחמת אחים. הכינוי בוגדים לאחים, על ידי שני הצדדים הקיצוניים, עלול להביא לתוצאות חמורות שאויבינו מייחלים לה</w:t>
            </w:r>
            <w:r w:rsidRPr="0067429B">
              <w:rPr>
                <w:rFonts w:ascii="David" w:eastAsia="Calibri" w:hAnsi="David" w:cs="David" w:hint="cs"/>
                <w:sz w:val="22"/>
                <w:szCs w:val="22"/>
                <w:rtl/>
              </w:rPr>
              <w:t>ן</w:t>
            </w:r>
            <w:r w:rsidRPr="0067429B">
              <w:rPr>
                <w:rFonts w:ascii="David" w:eastAsia="Calibri" w:hAnsi="David" w:cs="David"/>
                <w:sz w:val="22"/>
                <w:szCs w:val="22"/>
                <w:rtl/>
              </w:rPr>
              <w:t>.</w:t>
            </w:r>
          </w:p>
          <w:p w14:paraId="2E5857F7" w14:textId="77777777" w:rsidR="0067429B" w:rsidRPr="0067429B" w:rsidRDefault="0067429B" w:rsidP="0067429B">
            <w:pPr>
              <w:contextualSpacing/>
              <w:jc w:val="center"/>
              <w:rPr>
                <w:rFonts w:ascii="David" w:eastAsia="Calibri" w:hAnsi="David" w:cs="David"/>
                <w:sz w:val="22"/>
                <w:szCs w:val="22"/>
                <w:rtl/>
              </w:rPr>
            </w:pPr>
            <w:r w:rsidRPr="0067429B">
              <w:rPr>
                <w:rFonts w:ascii="David" w:eastAsia="Calibri" w:hAnsi="David" w:cs="David"/>
                <w:sz w:val="22"/>
                <w:szCs w:val="22"/>
                <w:rtl/>
              </w:rPr>
              <w:t>נהיה ממקרבי בנין המקדש ולא</w:t>
            </w:r>
            <w:r w:rsidRPr="0067429B">
              <w:rPr>
                <w:rFonts w:ascii="David" w:eastAsia="Calibri" w:hAnsi="David" w:cs="David" w:hint="cs"/>
                <w:sz w:val="22"/>
                <w:szCs w:val="22"/>
                <w:rtl/>
              </w:rPr>
              <w:t>,</w:t>
            </w:r>
            <w:r w:rsidRPr="0067429B">
              <w:rPr>
                <w:rFonts w:ascii="David" w:eastAsia="Calibri" w:hAnsi="David" w:cs="David"/>
                <w:sz w:val="22"/>
                <w:szCs w:val="22"/>
                <w:rtl/>
              </w:rPr>
              <w:t xml:space="preserve"> ח"ו</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proofErr w:type="spellStart"/>
            <w:r w:rsidRPr="0067429B">
              <w:rPr>
                <w:rFonts w:ascii="David" w:eastAsia="Calibri" w:hAnsi="David" w:cs="David"/>
                <w:sz w:val="22"/>
                <w:szCs w:val="22"/>
                <w:rtl/>
              </w:rPr>
              <w:t>ממחריביו</w:t>
            </w:r>
            <w:proofErr w:type="spellEnd"/>
            <w:r w:rsidRPr="0067429B">
              <w:rPr>
                <w:rFonts w:ascii="David" w:eastAsia="Calibri" w:hAnsi="David" w:cs="David"/>
                <w:sz w:val="22"/>
                <w:szCs w:val="22"/>
                <w:rtl/>
              </w:rPr>
              <w:t xml:space="preserve">. למרות חילוקי הדעות נגביר את אהבת </w:t>
            </w:r>
            <w:proofErr w:type="spellStart"/>
            <w:r w:rsidRPr="0067429B">
              <w:rPr>
                <w:rFonts w:ascii="David" w:eastAsia="Calibri" w:hAnsi="David" w:cs="David"/>
                <w:sz w:val="22"/>
                <w:szCs w:val="22"/>
                <w:rtl/>
              </w:rPr>
              <w:t>החינם</w:t>
            </w:r>
            <w:proofErr w:type="spellEnd"/>
            <w:r w:rsidRPr="0067429B">
              <w:rPr>
                <w:rFonts w:ascii="David" w:eastAsia="Calibri" w:hAnsi="David" w:cs="David" w:hint="cs"/>
                <w:sz w:val="22"/>
                <w:szCs w:val="22"/>
                <w:rtl/>
              </w:rPr>
              <w:t>.</w:t>
            </w:r>
            <w:r w:rsidRPr="0067429B">
              <w:rPr>
                <w:rFonts w:ascii="David" w:eastAsia="Calibri" w:hAnsi="David" w:cs="David"/>
                <w:sz w:val="22"/>
                <w:szCs w:val="22"/>
                <w:rtl/>
              </w:rPr>
              <w:t xml:space="preserve"> למרות הביקורת ואי ההסכמה</w:t>
            </w:r>
            <w:r w:rsidRPr="0067429B">
              <w:rPr>
                <w:rFonts w:ascii="David" w:eastAsia="Calibri" w:hAnsi="David" w:cs="David" w:hint="cs"/>
                <w:sz w:val="22"/>
                <w:szCs w:val="22"/>
                <w:rtl/>
              </w:rPr>
              <w:t>,</w:t>
            </w:r>
            <w:r w:rsidRPr="0067429B">
              <w:rPr>
                <w:rFonts w:ascii="David" w:eastAsia="Calibri" w:hAnsi="David" w:cs="David"/>
                <w:sz w:val="22"/>
                <w:szCs w:val="22"/>
                <w:rtl/>
              </w:rPr>
              <w:t xml:space="preserve"> נשתדל לדון לכף זכות ולהרבות ב</w:t>
            </w:r>
            <w:r w:rsidRPr="0067429B">
              <w:rPr>
                <w:rFonts w:ascii="David" w:eastAsia="Calibri" w:hAnsi="David" w:cs="David" w:hint="cs"/>
                <w:sz w:val="22"/>
                <w:szCs w:val="22"/>
                <w:rtl/>
              </w:rPr>
              <w:t>קירוב לבבות</w:t>
            </w:r>
            <w:r w:rsidRPr="0067429B">
              <w:rPr>
                <w:rFonts w:ascii="David" w:eastAsia="Calibri" w:hAnsi="David" w:cs="David"/>
                <w:sz w:val="22"/>
                <w:szCs w:val="22"/>
                <w:rtl/>
              </w:rPr>
              <w:t>.</w:t>
            </w:r>
          </w:p>
          <w:p w14:paraId="0E335F9F" w14:textId="77777777" w:rsidR="0067429B" w:rsidRPr="0067429B" w:rsidRDefault="0067429B" w:rsidP="0067429B">
            <w:pPr>
              <w:contextualSpacing/>
              <w:jc w:val="center"/>
              <w:rPr>
                <w:rFonts w:ascii="David" w:eastAsia="Calibri" w:hAnsi="David" w:cs="David"/>
                <w:sz w:val="22"/>
                <w:szCs w:val="22"/>
                <w:rtl/>
              </w:rPr>
            </w:pPr>
            <w:r w:rsidRPr="0067429B">
              <w:rPr>
                <w:rFonts w:ascii="David" w:eastAsia="Calibri" w:hAnsi="David" w:cs="David"/>
                <w:sz w:val="22"/>
                <w:szCs w:val="22"/>
                <w:rtl/>
              </w:rPr>
              <w:t>כך ננצח את אויבנו, נחזיר את החטופים ונמשיך להיות אוהבי שלום ורודפי שלום</w:t>
            </w:r>
            <w:r w:rsidRPr="0067429B">
              <w:rPr>
                <w:rFonts w:ascii="David" w:eastAsia="Calibri" w:hAnsi="David" w:cs="David" w:hint="cs"/>
                <w:sz w:val="22"/>
                <w:szCs w:val="22"/>
                <w:rtl/>
              </w:rPr>
              <w:t>,</w:t>
            </w:r>
            <w:r w:rsidRPr="0067429B">
              <w:rPr>
                <w:rFonts w:ascii="David" w:eastAsia="Calibri" w:hAnsi="David" w:cs="David"/>
                <w:sz w:val="22"/>
                <w:szCs w:val="22"/>
                <w:rtl/>
              </w:rPr>
              <w:t xml:space="preserve"> </w:t>
            </w:r>
            <w:r w:rsidRPr="0067429B">
              <w:rPr>
                <w:rFonts w:ascii="David" w:eastAsia="Calibri" w:hAnsi="David" w:cs="David" w:hint="cs"/>
                <w:sz w:val="22"/>
                <w:szCs w:val="22"/>
                <w:rtl/>
              </w:rPr>
              <w:t>ראשית</w:t>
            </w:r>
            <w:r w:rsidRPr="0067429B">
              <w:rPr>
                <w:rFonts w:ascii="David" w:eastAsia="Calibri" w:hAnsi="David" w:cs="David"/>
                <w:sz w:val="22"/>
                <w:szCs w:val="22"/>
                <w:rtl/>
              </w:rPr>
              <w:t xml:space="preserve"> בתוכנו</w:t>
            </w:r>
            <w:r w:rsidRPr="0067429B">
              <w:rPr>
                <w:rFonts w:ascii="David" w:eastAsia="Calibri" w:hAnsi="David" w:cs="David" w:hint="cs"/>
                <w:sz w:val="22"/>
                <w:szCs w:val="22"/>
                <w:rtl/>
              </w:rPr>
              <w:t>,</w:t>
            </w:r>
            <w:r w:rsidRPr="0067429B">
              <w:rPr>
                <w:rFonts w:ascii="David" w:eastAsia="Calibri" w:hAnsi="David" w:cs="David"/>
                <w:sz w:val="22"/>
                <w:szCs w:val="22"/>
                <w:rtl/>
              </w:rPr>
              <w:t xml:space="preserve"> ואח"כ עם כל האנושות</w:t>
            </w:r>
            <w:r w:rsidRPr="0067429B">
              <w:rPr>
                <w:rFonts w:ascii="David" w:eastAsia="Calibri" w:hAnsi="David" w:cs="David" w:hint="cs"/>
                <w:sz w:val="22"/>
                <w:szCs w:val="22"/>
                <w:rtl/>
              </w:rPr>
              <w:t>,</w:t>
            </w:r>
            <w:r w:rsidRPr="0067429B">
              <w:rPr>
                <w:rFonts w:ascii="David" w:eastAsia="Calibri" w:hAnsi="David" w:cs="David"/>
                <w:sz w:val="22"/>
                <w:szCs w:val="22"/>
                <w:rtl/>
              </w:rPr>
              <w:t xml:space="preserve"> שתקבל על עצמה בקרוב</w:t>
            </w:r>
            <w:r w:rsidRPr="0067429B">
              <w:rPr>
                <w:rFonts w:ascii="David" w:eastAsia="Calibri" w:hAnsi="David" w:cs="David" w:hint="cs"/>
                <w:sz w:val="22"/>
                <w:szCs w:val="22"/>
                <w:rtl/>
              </w:rPr>
              <w:t>,</w:t>
            </w:r>
            <w:r w:rsidRPr="0067429B">
              <w:rPr>
                <w:rFonts w:ascii="David" w:eastAsia="Calibri" w:hAnsi="David" w:cs="David"/>
                <w:sz w:val="22"/>
                <w:szCs w:val="22"/>
                <w:rtl/>
              </w:rPr>
              <w:t xml:space="preserve"> שבע מצוות בני נח</w:t>
            </w:r>
            <w:r w:rsidRPr="0067429B">
              <w:rPr>
                <w:rFonts w:ascii="David" w:eastAsia="Calibri" w:hAnsi="David" w:cs="David" w:hint="cs"/>
                <w:sz w:val="22"/>
                <w:szCs w:val="22"/>
                <w:rtl/>
              </w:rPr>
              <w:t>,</w:t>
            </w:r>
            <w:r w:rsidRPr="0067429B">
              <w:rPr>
                <w:rFonts w:ascii="David" w:eastAsia="Calibri" w:hAnsi="David" w:cs="David"/>
                <w:sz w:val="22"/>
                <w:szCs w:val="22"/>
                <w:rtl/>
              </w:rPr>
              <w:t xml:space="preserve"> שהראשונה שבהן היא מחיקת המושג אכזריות מהמילון האנושי.</w:t>
            </w:r>
          </w:p>
          <w:p w14:paraId="20A3FFB8" w14:textId="4E95E965" w:rsidR="00AE32AC" w:rsidRPr="0067429B" w:rsidRDefault="00AE32AC" w:rsidP="00DA2702">
            <w:pPr>
              <w:spacing w:line="259" w:lineRule="auto"/>
              <w:rPr>
                <w:rFonts w:ascii="David" w:hAnsi="David" w:cs="David"/>
                <w:sz w:val="8"/>
                <w:szCs w:val="8"/>
                <w:rtl/>
              </w:rPr>
            </w:pPr>
          </w:p>
          <w:p w14:paraId="3281717A" w14:textId="102F5B62" w:rsidR="000F1AE1" w:rsidRDefault="001969F8" w:rsidP="0067429B">
            <w:pPr>
              <w:jc w:val="center"/>
              <w:rPr>
                <w:rFonts w:ascii="David" w:hAnsi="David" w:cs="David"/>
                <w:color w:val="1F497D"/>
                <w:sz w:val="22"/>
                <w:szCs w:val="22"/>
                <w:rtl/>
              </w:rPr>
            </w:pPr>
            <w:r w:rsidRPr="007B4150">
              <w:rPr>
                <w:rFonts w:ascii="David" w:hAnsi="David" w:cs="David"/>
                <w:noProof/>
                <w:color w:val="0000FF"/>
                <w:sz w:val="22"/>
                <w:szCs w:val="22"/>
                <w:rtl/>
              </w:rPr>
              <w:t>(</w:t>
            </w:r>
            <w:hyperlink r:id="rId13"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CBB7CB9" w14:textId="77777777" w:rsidR="0067429B" w:rsidRPr="0067429B" w:rsidRDefault="0067429B" w:rsidP="000F1AE1">
            <w:pPr>
              <w:spacing w:line="360" w:lineRule="auto"/>
              <w:jc w:val="center"/>
              <w:rPr>
                <w:rFonts w:ascii="David" w:hAnsi="David" w:cs="David"/>
                <w:color w:val="1F497D"/>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845"/>
              <w:gridCol w:w="573"/>
              <w:gridCol w:w="268"/>
              <w:gridCol w:w="575"/>
              <w:gridCol w:w="283"/>
              <w:gridCol w:w="142"/>
              <w:gridCol w:w="291"/>
              <w:gridCol w:w="410"/>
              <w:gridCol w:w="1858"/>
              <w:gridCol w:w="281"/>
            </w:tblGrid>
            <w:tr w:rsidR="0024401E" w:rsidRPr="00A6414A" w14:paraId="2568EBA3" w14:textId="77777777" w:rsidTr="003457B3">
              <w:trPr>
                <w:trHeight w:val="273"/>
              </w:trPr>
              <w:tc>
                <w:tcPr>
                  <w:tcW w:w="3804" w:type="dxa"/>
                  <w:gridSpan w:val="8"/>
                  <w:tcMar>
                    <w:top w:w="0" w:type="dxa"/>
                    <w:left w:w="108" w:type="dxa"/>
                    <w:bottom w:w="0" w:type="dxa"/>
                    <w:right w:w="108" w:type="dxa"/>
                  </w:tcMar>
                  <w:vAlign w:val="center"/>
                </w:tcPr>
                <w:p w14:paraId="3DF52FB6" w14:textId="77777777" w:rsidR="0024401E" w:rsidRPr="00A6414A" w:rsidRDefault="0024401E" w:rsidP="00A6414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4401E">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4401E">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9"/>
                  <w:vAlign w:val="center"/>
                </w:tcPr>
                <w:p w14:paraId="02342480" w14:textId="67B22375" w:rsidR="0024401E" w:rsidRPr="00A6414A" w:rsidRDefault="0024401E" w:rsidP="003457B3">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5"/>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24401E">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24401E">
                  <w:pPr>
                    <w:ind w:right="26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8"/>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7"/>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8"/>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gridSpan w:val="2"/>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2"/>
          </w:tbl>
          <w:p w14:paraId="0F365956" w14:textId="0F42AEC9" w:rsidR="00E8510C" w:rsidRPr="00451315" w:rsidRDefault="00E8510C" w:rsidP="00FC3E58">
            <w:pPr>
              <w:rPr>
                <w:rFonts w:ascii="David" w:hAnsi="David" w:cs="David"/>
                <w:sz w:val="18"/>
                <w:szCs w:val="18"/>
                <w:rtl/>
              </w:rPr>
            </w:pPr>
          </w:p>
        </w:tc>
      </w:tr>
    </w:tbl>
    <w:p w14:paraId="00C2CE97" w14:textId="2E4E0833" w:rsidR="00B275CF" w:rsidRPr="00DA2702" w:rsidRDefault="0035542D" w:rsidP="0067429B">
      <w:pPr>
        <w:contextualSpacing/>
        <w:rPr>
          <w:rFonts w:ascii="Arial" w:eastAsia="Calibri" w:hAnsi="Arial" w:cs="Arial"/>
          <w:b/>
          <w:bCs/>
          <w:color w:val="C00000"/>
          <w:sz w:val="14"/>
          <w:szCs w:val="14"/>
          <w:rtl/>
        </w:rPr>
      </w:pPr>
      <w:r w:rsidRPr="00624A6A">
        <w:rPr>
          <w:rFonts w:ascii="David" w:hAnsi="David" w:cs="David"/>
          <w:noProof/>
          <w:rtl/>
        </w:rPr>
        <w:drawing>
          <wp:anchor distT="0" distB="0" distL="114300" distR="114300" simplePos="0" relativeHeight="252003328" behindDoc="1" locked="0" layoutInCell="1" allowOverlap="1" wp14:anchorId="13784850" wp14:editId="340B33AC">
            <wp:simplePos x="0" y="0"/>
            <wp:positionH relativeFrom="page">
              <wp:posOffset>53340</wp:posOffset>
            </wp:positionH>
            <wp:positionV relativeFrom="paragraph">
              <wp:posOffset>7114540</wp:posOffset>
            </wp:positionV>
            <wp:extent cx="7434580" cy="215646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34580" cy="2156460"/>
                    </a:xfrm>
                    <a:prstGeom prst="rect">
                      <a:avLst/>
                    </a:prstGeom>
                    <a:noFill/>
                  </pic:spPr>
                </pic:pic>
              </a:graphicData>
            </a:graphic>
            <wp14:sizeRelH relativeFrom="page">
              <wp14:pctWidth>0</wp14:pctWidth>
            </wp14:sizeRelH>
            <wp14:sizeRelV relativeFrom="page">
              <wp14:pctHeight>0</wp14:pctHeight>
            </wp14:sizeRelV>
          </wp:anchor>
        </w:drawing>
      </w:r>
    </w:p>
    <w:p w14:paraId="22F32FAD" w14:textId="77777777" w:rsidR="0067429B" w:rsidRPr="0067429B" w:rsidRDefault="0067429B" w:rsidP="0067429B">
      <w:pPr>
        <w:contextualSpacing/>
        <w:jc w:val="center"/>
        <w:rPr>
          <w:rFonts w:ascii="Arial" w:eastAsia="Calibri" w:hAnsi="Arial" w:cs="Arial"/>
          <w:b/>
          <w:bCs/>
          <w:color w:val="C00000"/>
          <w:sz w:val="10"/>
          <w:szCs w:val="10"/>
          <w:rtl/>
        </w:rPr>
      </w:pPr>
    </w:p>
    <w:p w14:paraId="2E94EE8C" w14:textId="734E6E87"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 xml:space="preserve">ארץ חמדה, </w:t>
      </w:r>
      <w:proofErr w:type="spellStart"/>
      <w:r w:rsidRPr="00332D79">
        <w:rPr>
          <w:rFonts w:ascii="Arial" w:eastAsia="Calibri" w:hAnsi="Arial" w:cs="Arial"/>
          <w:b/>
          <w:bCs/>
          <w:color w:val="C00000"/>
          <w:sz w:val="20"/>
          <w:szCs w:val="20"/>
          <w:rtl/>
        </w:rPr>
        <w:t>ע"ר</w:t>
      </w:r>
      <w:proofErr w:type="spellEnd"/>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D56285" w:rsidP="00DF5AEC">
      <w:pPr>
        <w:bidi w:val="0"/>
        <w:jc w:val="center"/>
        <w:rPr>
          <w:rFonts w:ascii="Calibri" w:eastAsia="Calibri" w:hAnsi="Calibri" w:cs="David"/>
          <w:b/>
          <w:bCs/>
          <w:sz w:val="28"/>
          <w:szCs w:val="28"/>
        </w:rPr>
      </w:pPr>
      <w:hyperlink r:id="rId15"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6"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15DC02AF">
            <wp:simplePos x="0" y="0"/>
            <wp:positionH relativeFrom="column">
              <wp:posOffset>4560570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7598DDA" w14:textId="56319299" w:rsidR="003A70F2" w:rsidRPr="004C5A21" w:rsidRDefault="003A70F2" w:rsidP="00B42B24">
      <w:pPr>
        <w:bidi w:val="0"/>
        <w:contextualSpacing/>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ארנרייך זצ"ל</w:t>
      </w:r>
      <w:r w:rsidR="00B42B24">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630DDEB4" w14:textId="77777777" w:rsidR="002F361A" w:rsidRPr="004B0552" w:rsidRDefault="002F361A" w:rsidP="00B42B24">
      <w:pPr>
        <w:contextualSpacing/>
        <w:rPr>
          <w:rFonts w:ascii="David" w:eastAsia="Calibri" w:hAnsi="David" w:cs="David"/>
          <w:rtl/>
        </w:rPr>
      </w:pPr>
    </w:p>
    <w:p w14:paraId="61466C38" w14:textId="77777777" w:rsidR="004B0552" w:rsidRPr="004B0552" w:rsidRDefault="004B0552" w:rsidP="004B0552">
      <w:pPr>
        <w:contextualSpacing/>
        <w:rPr>
          <w:rFonts w:ascii="David" w:hAnsi="David" w:cs="David"/>
          <w:b/>
          <w:bCs/>
          <w:color w:val="0070C0"/>
          <w:kern w:val="2"/>
          <w:sz w:val="32"/>
          <w:szCs w:val="32"/>
          <w:rtl/>
          <w14:ligatures w14:val="standardContextual"/>
        </w:rPr>
      </w:pPr>
      <w:r w:rsidRPr="004B0552">
        <w:rPr>
          <w:rFonts w:ascii="David" w:hAnsi="David" w:cs="David" w:hint="cs"/>
          <w:b/>
          <w:bCs/>
          <w:color w:val="0070C0"/>
          <w:kern w:val="2"/>
          <w:sz w:val="32"/>
          <w:szCs w:val="32"/>
          <w:rtl/>
          <w14:ligatures w14:val="standardContextual"/>
        </w:rPr>
        <w:t>עד היכן ברכת זימון</w:t>
      </w:r>
    </w:p>
    <w:p w14:paraId="65B292D5" w14:textId="77777777" w:rsidR="004B0552" w:rsidRPr="004B0552" w:rsidRDefault="004B0552" w:rsidP="004B0552">
      <w:pPr>
        <w:contextualSpacing/>
        <w:rPr>
          <w:rFonts w:ascii="David" w:eastAsia="Calibri" w:hAnsi="David" w:cs="David"/>
          <w:rtl/>
        </w:rPr>
      </w:pPr>
    </w:p>
    <w:p w14:paraId="0EB7E434"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במסכת ברכות (דף מו ע"א)</w:t>
      </w:r>
      <w:r w:rsidRPr="004B0552">
        <w:rPr>
          <w:rFonts w:ascii="David" w:eastAsia="Calibri" w:hAnsi="David" w:cs="David" w:hint="cs"/>
        </w:rPr>
        <w:t xml:space="preserve"> </w:t>
      </w:r>
      <w:r w:rsidRPr="004B0552">
        <w:rPr>
          <w:rFonts w:ascii="David" w:eastAsia="Calibri" w:hAnsi="David" w:cs="David" w:hint="cs"/>
          <w:rtl/>
        </w:rPr>
        <w:t>חולקים התנאים עד היכן ברכת הזימון. רב נחמן אומר שעד 'נברך', ורב ששת אומר שעד 'הזן'.</w:t>
      </w:r>
    </w:p>
    <w:p w14:paraId="3FBA44CE"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רש"י מפרש שהשאלה היא: איזה בחלק בזימון לא אומרים אם אין שלושה שאכלו כאחד.</w:t>
      </w:r>
    </w:p>
    <w:p w14:paraId="67EE693A"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בעלי התוספות תמהים מאוד על דבריו: היעלה על הדעת שלפי רב ששת אדם האוכל לבדו אינו אומר את ברכת "הזן את הכל"?</w:t>
      </w:r>
    </w:p>
    <w:p w14:paraId="4047C078" w14:textId="77777777" w:rsidR="004B0552" w:rsidRPr="004B0552" w:rsidRDefault="004B0552" w:rsidP="004B0552">
      <w:pPr>
        <w:contextualSpacing/>
        <w:rPr>
          <w:rFonts w:ascii="David" w:eastAsia="Calibri" w:hAnsi="David" w:cs="David"/>
          <w:rtl/>
        </w:rPr>
      </w:pPr>
    </w:p>
    <w:p w14:paraId="1BAF92BD"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הם מבארים שכוונת השאלה היא: אדם או שניים עצרו את אכילתם בכדי לשמוע את הזימון. עד היכן עליהם להמתין בכדי לקיים את מצוות הזימון?</w:t>
      </w:r>
    </w:p>
    <w:p w14:paraId="399D19A7"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לפי שיטה זו, מה שורש מחלוקת האמוראים? </w:t>
      </w:r>
      <w:proofErr w:type="spellStart"/>
      <w:r w:rsidRPr="004B0552">
        <w:rPr>
          <w:rFonts w:ascii="David" w:eastAsia="Calibri" w:hAnsi="David" w:cs="David" w:hint="cs"/>
          <w:rtl/>
        </w:rPr>
        <w:t>הרא"ש</w:t>
      </w:r>
      <w:proofErr w:type="spellEnd"/>
      <w:r w:rsidRPr="004B0552">
        <w:rPr>
          <w:rFonts w:ascii="David" w:eastAsia="Calibri" w:hAnsi="David" w:cs="David" w:hint="cs"/>
          <w:rtl/>
        </w:rPr>
        <w:t xml:space="preserve"> אומר שרב ששת סובר שהזימון מוכרח להתייחס לברכה מסוימת. הרי בזימון מזמנים את האחרים לברכה! לכן רב ששת אומר שבהכרח הזימון מסתיים בסוף הברכה הראשונה.</w:t>
      </w:r>
    </w:p>
    <w:p w14:paraId="5AEDEFF6"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אם כך, מה סובר רב נחמן? מדוע לשיטתו אין צורך בברכה אחרי הזימון?</w:t>
      </w:r>
    </w:p>
    <w:p w14:paraId="751B9777" w14:textId="77777777" w:rsidR="004B0552" w:rsidRPr="004B0552" w:rsidRDefault="004B0552" w:rsidP="004B0552">
      <w:pPr>
        <w:contextualSpacing/>
        <w:rPr>
          <w:rFonts w:ascii="David" w:eastAsia="Calibri" w:hAnsi="David" w:cs="David"/>
          <w:rtl/>
        </w:rPr>
      </w:pPr>
    </w:p>
    <w:p w14:paraId="3E8EAE09"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מספר פעמים נגענו בשני פירושים למושג הזימון:</w:t>
      </w:r>
    </w:p>
    <w:p w14:paraId="02B76837" w14:textId="77777777" w:rsidR="004B0552" w:rsidRPr="004B0552" w:rsidRDefault="004B0552" w:rsidP="004B0552">
      <w:pPr>
        <w:numPr>
          <w:ilvl w:val="0"/>
          <w:numId w:val="30"/>
        </w:numPr>
        <w:spacing w:line="259" w:lineRule="auto"/>
        <w:contextualSpacing/>
        <w:jc w:val="both"/>
        <w:rPr>
          <w:rFonts w:ascii="David" w:eastAsia="Calibri" w:hAnsi="David" w:cs="David"/>
        </w:rPr>
      </w:pPr>
      <w:r w:rsidRPr="004B0552">
        <w:rPr>
          <w:rFonts w:ascii="David" w:eastAsia="Calibri" w:hAnsi="David" w:cs="David" w:hint="cs"/>
          <w:rtl/>
        </w:rPr>
        <w:t>כפשוטו: הזימון מכין את המסובים לברכה.</w:t>
      </w:r>
    </w:p>
    <w:p w14:paraId="5125AA65" w14:textId="77777777" w:rsidR="004B0552" w:rsidRPr="004B0552" w:rsidRDefault="004B0552" w:rsidP="004B0552">
      <w:pPr>
        <w:numPr>
          <w:ilvl w:val="0"/>
          <w:numId w:val="30"/>
        </w:numPr>
        <w:spacing w:line="259" w:lineRule="auto"/>
        <w:contextualSpacing/>
        <w:jc w:val="both"/>
        <w:rPr>
          <w:rFonts w:ascii="David" w:eastAsia="Calibri" w:hAnsi="David" w:cs="David"/>
          <w:rtl/>
        </w:rPr>
      </w:pPr>
      <w:r w:rsidRPr="004B0552">
        <w:rPr>
          <w:rFonts w:ascii="David" w:eastAsia="Calibri" w:hAnsi="David" w:cs="David" w:hint="cs"/>
          <w:rtl/>
        </w:rPr>
        <w:t>ברכת הודאה עצמאית: הקריאה המשותפת להודיה לקב"ה טומנת בחובה את ההודיה על כך שהקב"ה טבע באוכל את היכולת לחבר בין אנשים.</w:t>
      </w:r>
    </w:p>
    <w:p w14:paraId="2D06C92D"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כפי שהזכרנו מספר פעמים, לפי הרמב"ם (ככל הנראה בעקבות הגאונים) הזימון הוא הכנה לברכת המזון, בלבד.</w:t>
      </w:r>
    </w:p>
    <w:p w14:paraId="78607DB7"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אך לפי </w:t>
      </w:r>
      <w:proofErr w:type="spellStart"/>
      <w:r w:rsidRPr="004B0552">
        <w:rPr>
          <w:rFonts w:ascii="David" w:eastAsia="Calibri" w:hAnsi="David" w:cs="David" w:hint="cs"/>
          <w:rtl/>
        </w:rPr>
        <w:t>הרא"ש</w:t>
      </w:r>
      <w:proofErr w:type="spellEnd"/>
      <w:r w:rsidRPr="004B0552">
        <w:rPr>
          <w:rFonts w:ascii="David" w:eastAsia="Calibri" w:hAnsi="David" w:cs="David" w:hint="cs"/>
          <w:rtl/>
        </w:rPr>
        <w:t xml:space="preserve"> הזימון הוא בעיקר ברכת הודאה עצמאית.</w:t>
      </w:r>
    </w:p>
    <w:p w14:paraId="28C3C26E"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אחרי הקדמת דברי </w:t>
      </w:r>
      <w:proofErr w:type="spellStart"/>
      <w:r w:rsidRPr="004B0552">
        <w:rPr>
          <w:rFonts w:ascii="David" w:eastAsia="Calibri" w:hAnsi="David" w:cs="David" w:hint="cs"/>
          <w:rtl/>
        </w:rPr>
        <w:t>הרא"ש</w:t>
      </w:r>
      <w:proofErr w:type="spellEnd"/>
      <w:r w:rsidRPr="004B0552">
        <w:rPr>
          <w:rFonts w:ascii="David" w:eastAsia="Calibri" w:hAnsi="David" w:cs="David" w:hint="cs"/>
          <w:rtl/>
        </w:rPr>
        <w:t xml:space="preserve"> הללו ניתן להבין את המחלוקת:</w:t>
      </w:r>
    </w:p>
    <w:p w14:paraId="7906ADA1"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לפי רב נחמן, עצם הקריאה המשותפת לברכה היא עצמה הודאה לקב"ה על תכונת השיתוף והקרבה שהאוכל מייצר.</w:t>
      </w:r>
    </w:p>
    <w:p w14:paraId="103FF81F"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רב ששת אינו חולק על עצם התובנה הזאת. אך הוא סבור שללא שהחבורה תשתתף סביב איזו הודאה קונקרטית, הקריאה לברכה נשארת יתומה. לכן הקריאה לברכה משותפת צריכה לבוא לידי ביטוי לכל הפחות בברכה אחת מתוך ברכת המזון.</w:t>
      </w:r>
    </w:p>
    <w:p w14:paraId="011E6FD8" w14:textId="77777777" w:rsidR="004B0552" w:rsidRPr="004B0552" w:rsidRDefault="004B0552" w:rsidP="004B0552">
      <w:pPr>
        <w:contextualSpacing/>
        <w:rPr>
          <w:rFonts w:ascii="David" w:eastAsia="Calibri" w:hAnsi="David" w:cs="David"/>
          <w:rtl/>
        </w:rPr>
      </w:pPr>
    </w:p>
    <w:p w14:paraId="07B555E3"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במקום אחר (בפירושו לדף מו ע"ב) רש"י משקף דברים מקבילים לדברי </w:t>
      </w:r>
      <w:proofErr w:type="spellStart"/>
      <w:r w:rsidRPr="004B0552">
        <w:rPr>
          <w:rFonts w:ascii="David" w:eastAsia="Calibri" w:hAnsi="David" w:cs="David" w:hint="cs"/>
          <w:rtl/>
        </w:rPr>
        <w:t>הרא"ש</w:t>
      </w:r>
      <w:proofErr w:type="spellEnd"/>
      <w:r w:rsidRPr="004B0552">
        <w:rPr>
          <w:rFonts w:ascii="David" w:eastAsia="Calibri" w:hAnsi="David" w:cs="David" w:hint="cs"/>
          <w:rtl/>
        </w:rPr>
        <w:t xml:space="preserve">. הוא אומר שאחרי שפסקנו הלכה כרב ששת, עולה השאלה הבאה: שניים עצרו את אכילתם וענו לזימון. בהתאם לפסיקה כרב ששת, הם המתינו ושמעו את הברכה הראשונה מפי המזמן. מאוחר יותר הם מסיימים את סעודתם, ועתה ספק </w:t>
      </w:r>
      <w:proofErr w:type="spellStart"/>
      <w:r w:rsidRPr="004B0552">
        <w:rPr>
          <w:rFonts w:ascii="David" w:eastAsia="Calibri" w:hAnsi="David" w:cs="David" w:hint="cs"/>
          <w:rtl/>
        </w:rPr>
        <w:t>בלבם</w:t>
      </w:r>
      <w:proofErr w:type="spellEnd"/>
      <w:r w:rsidRPr="004B0552">
        <w:rPr>
          <w:rFonts w:ascii="David" w:eastAsia="Calibri" w:hAnsi="David" w:cs="David" w:hint="cs"/>
          <w:rtl/>
        </w:rPr>
        <w:t>: האם הם יצאו ידי חובת הברכה הראשונה בתוך ברכת הזימון, ומעתה עליהם להמשיך מברכת הארץ, או שמא את ברכת 'הזן' הם שמעו רק בכדי להשתתף בהודאה לקב"ה יחד, אך לאחר מכן מוטל על כל אחד לברך את ברכת המזון במלואה.</w:t>
      </w:r>
    </w:p>
    <w:p w14:paraId="52ACA395"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מדברי רש"י כאן משמע שהוא מסכים לעקרונות </w:t>
      </w:r>
      <w:proofErr w:type="spellStart"/>
      <w:r w:rsidRPr="004B0552">
        <w:rPr>
          <w:rFonts w:ascii="David" w:eastAsia="Calibri" w:hAnsi="David" w:cs="David" w:hint="cs"/>
          <w:rtl/>
        </w:rPr>
        <w:t>שהרא"ש</w:t>
      </w:r>
      <w:proofErr w:type="spellEnd"/>
      <w:r w:rsidRPr="004B0552">
        <w:rPr>
          <w:rFonts w:ascii="David" w:eastAsia="Calibri" w:hAnsi="David" w:cs="David" w:hint="cs"/>
          <w:rtl/>
        </w:rPr>
        <w:t xml:space="preserve"> מציג.</w:t>
      </w:r>
    </w:p>
    <w:p w14:paraId="440C605C" w14:textId="77777777" w:rsidR="004B0552" w:rsidRPr="004B0552" w:rsidRDefault="004B0552" w:rsidP="004B0552">
      <w:pPr>
        <w:contextualSpacing/>
        <w:rPr>
          <w:rFonts w:ascii="David" w:eastAsia="Calibri" w:hAnsi="David" w:cs="David"/>
          <w:rtl/>
        </w:rPr>
      </w:pPr>
    </w:p>
    <w:p w14:paraId="29D987AF"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ברם, ביאור זה אינו מתאים לשיטת הרמב"ם. כאמור, לפי הרמב"ם אין אפשרות שאדם אחד יעצור וישמע זימון מהאחרים. לפי הרמב"ם הזימון לעולם מזמין את המסובים כולם לברך את ברכת המזון (כפי שלמדנו בעבר: לפי המנהג המקורי הדברים עוד יותר קשים. במנהג המקורי, המזמן היה מברך את ברכת המזון כולה עבור כולם. אם כך, ברכת הזימון מסתיימת בסוף ברכת המזון!).</w:t>
      </w:r>
    </w:p>
    <w:p w14:paraId="19370B62" w14:textId="77777777" w:rsidR="004B0552" w:rsidRPr="004B0552" w:rsidRDefault="004B0552" w:rsidP="004B0552">
      <w:pPr>
        <w:contextualSpacing/>
        <w:rPr>
          <w:rFonts w:ascii="David" w:eastAsia="Calibri" w:hAnsi="David" w:cs="David"/>
          <w:rtl/>
        </w:rPr>
      </w:pPr>
      <w:proofErr w:type="spellStart"/>
      <w:r w:rsidRPr="004B0552">
        <w:rPr>
          <w:rFonts w:ascii="David" w:eastAsia="Calibri" w:hAnsi="David" w:cs="David" w:hint="cs"/>
          <w:rtl/>
        </w:rPr>
        <w:t>הרשב"א</w:t>
      </w:r>
      <w:proofErr w:type="spellEnd"/>
      <w:r w:rsidRPr="004B0552">
        <w:rPr>
          <w:rFonts w:ascii="David" w:eastAsia="Calibri" w:hAnsi="David" w:cs="David" w:hint="cs"/>
          <w:rtl/>
        </w:rPr>
        <w:t xml:space="preserve"> אומר שאכן מדובר על שלושה שאכלו כאחד, ואחד מהם בירך לבדו בשגגה. במצב זה השניים בכל זאת יצרפו אותו לזימון, ואזי עולה השאלה עד היכן עליו להישאר יחד עם המסובים.</w:t>
      </w:r>
    </w:p>
    <w:p w14:paraId="6FBC7B07"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בפועל מבחינת ביאור הגמרא ההסבר דומה, אלא שמתייחס למקרה מעט שונה. הדבר המהותי לענייננו הוא שהמחלוקת באיזה מצב מדובר בגמרא נובעת מהבדל עקרוני בהבנת מהות הזימון.</w:t>
      </w:r>
    </w:p>
    <w:p w14:paraId="2CC89FE0" w14:textId="77777777" w:rsidR="004B0552" w:rsidRPr="004B0552" w:rsidRDefault="004B0552" w:rsidP="004B0552">
      <w:pPr>
        <w:contextualSpacing/>
        <w:rPr>
          <w:rFonts w:ascii="David" w:eastAsia="Calibri" w:hAnsi="David" w:cs="David"/>
          <w:rtl/>
        </w:rPr>
      </w:pPr>
    </w:p>
    <w:p w14:paraId="27AA103F"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להלכה:</w:t>
      </w:r>
    </w:p>
    <w:p w14:paraId="423DF962" w14:textId="77777777" w:rsidR="004B0552" w:rsidRPr="004B0552" w:rsidRDefault="004B0552" w:rsidP="004B0552">
      <w:pPr>
        <w:contextualSpacing/>
        <w:rPr>
          <w:rFonts w:ascii="David" w:eastAsia="Calibri" w:hAnsi="David" w:cs="David"/>
          <w:rtl/>
        </w:rPr>
      </w:pPr>
      <w:proofErr w:type="spellStart"/>
      <w:r w:rsidRPr="004B0552">
        <w:rPr>
          <w:rFonts w:ascii="David" w:eastAsia="Calibri" w:hAnsi="David" w:cs="David" w:hint="cs"/>
          <w:rtl/>
        </w:rPr>
        <w:t>הרי"ף</w:t>
      </w:r>
      <w:proofErr w:type="spellEnd"/>
      <w:r w:rsidRPr="004B0552">
        <w:rPr>
          <w:rFonts w:ascii="David" w:eastAsia="Calibri" w:hAnsi="David" w:cs="David" w:hint="cs"/>
          <w:rtl/>
        </w:rPr>
        <w:t xml:space="preserve"> אומר שנהוג שכל </w:t>
      </w:r>
      <w:proofErr w:type="spellStart"/>
      <w:r w:rsidRPr="004B0552">
        <w:rPr>
          <w:rFonts w:ascii="David" w:eastAsia="Calibri" w:hAnsi="David" w:cs="David" w:hint="cs"/>
          <w:rtl/>
        </w:rPr>
        <w:t>המסובין</w:t>
      </w:r>
      <w:proofErr w:type="spellEnd"/>
      <w:r w:rsidRPr="004B0552">
        <w:rPr>
          <w:rFonts w:ascii="David" w:eastAsia="Calibri" w:hAnsi="David" w:cs="David" w:hint="cs"/>
          <w:rtl/>
        </w:rPr>
        <w:t xml:space="preserve"> מברכים את כל ברכת המזון, גם אם ענו לזימון וברכו מיד. משמע שברכת 'הזן' איננה כלולה בזימון.</w:t>
      </w:r>
    </w:p>
    <w:p w14:paraId="5E94FCCA" w14:textId="77777777" w:rsidR="004B0552" w:rsidRPr="004B0552" w:rsidRDefault="004B0552" w:rsidP="004B0552">
      <w:pPr>
        <w:contextualSpacing/>
        <w:rPr>
          <w:rFonts w:ascii="David" w:eastAsia="Calibri" w:hAnsi="David" w:cs="David"/>
          <w:rtl/>
        </w:rPr>
      </w:pPr>
      <w:r w:rsidRPr="004B0552">
        <w:rPr>
          <w:rFonts w:ascii="David" w:eastAsia="Calibri" w:hAnsi="David" w:cs="David" w:hint="cs"/>
          <w:rtl/>
        </w:rPr>
        <w:t xml:space="preserve">בעלי התוספות </w:t>
      </w:r>
      <w:proofErr w:type="spellStart"/>
      <w:r w:rsidRPr="004B0552">
        <w:rPr>
          <w:rFonts w:ascii="David" w:eastAsia="Calibri" w:hAnsi="David" w:cs="David" w:hint="cs"/>
          <w:rtl/>
        </w:rPr>
        <w:t>והרא"ש</w:t>
      </w:r>
      <w:proofErr w:type="spellEnd"/>
      <w:r w:rsidRPr="004B0552">
        <w:rPr>
          <w:rFonts w:ascii="David" w:eastAsia="Calibri" w:hAnsi="David" w:cs="David" w:hint="cs"/>
          <w:rtl/>
        </w:rPr>
        <w:t xml:space="preserve"> חולקים עליו, ואומרים שהלכה כרב ששת, בכדי שהזימון יכלול ברכה משמעותית.</w:t>
      </w:r>
    </w:p>
    <w:p w14:paraId="14B2C992" w14:textId="77777777" w:rsidR="004B0552" w:rsidRPr="004B0552" w:rsidRDefault="004B0552" w:rsidP="004B0552">
      <w:pPr>
        <w:contextualSpacing/>
        <w:rPr>
          <w:rFonts w:ascii="David" w:eastAsia="Calibri" w:hAnsi="David" w:cs="David"/>
          <w:rtl/>
        </w:rPr>
      </w:pPr>
      <w:proofErr w:type="spellStart"/>
      <w:r w:rsidRPr="004B0552">
        <w:rPr>
          <w:rFonts w:ascii="David" w:eastAsia="Calibri" w:hAnsi="David" w:cs="David" w:hint="cs"/>
          <w:rtl/>
        </w:rPr>
        <w:t>השו"ע</w:t>
      </w:r>
      <w:proofErr w:type="spellEnd"/>
      <w:r w:rsidRPr="004B0552">
        <w:rPr>
          <w:rFonts w:ascii="David" w:eastAsia="Calibri" w:hAnsi="David" w:cs="David" w:hint="cs"/>
          <w:rtl/>
        </w:rPr>
        <w:t xml:space="preserve"> פוסק </w:t>
      </w:r>
      <w:proofErr w:type="spellStart"/>
      <w:r w:rsidRPr="004B0552">
        <w:rPr>
          <w:rFonts w:ascii="David" w:eastAsia="Calibri" w:hAnsi="David" w:cs="David" w:hint="cs"/>
          <w:rtl/>
        </w:rPr>
        <w:t>כרי"ף</w:t>
      </w:r>
      <w:proofErr w:type="spellEnd"/>
      <w:r w:rsidRPr="004B0552">
        <w:rPr>
          <w:rFonts w:ascii="David" w:eastAsia="Calibri" w:hAnsi="David" w:cs="David" w:hint="cs"/>
          <w:rtl/>
        </w:rPr>
        <w:t xml:space="preserve">, </w:t>
      </w:r>
      <w:proofErr w:type="spellStart"/>
      <w:r w:rsidRPr="004B0552">
        <w:rPr>
          <w:rFonts w:ascii="David" w:eastAsia="Calibri" w:hAnsi="David" w:cs="David" w:hint="cs"/>
          <w:rtl/>
        </w:rPr>
        <w:t>והרמ"א</w:t>
      </w:r>
      <w:proofErr w:type="spellEnd"/>
      <w:r w:rsidRPr="004B0552">
        <w:rPr>
          <w:rFonts w:ascii="David" w:eastAsia="Calibri" w:hAnsi="David" w:cs="David" w:hint="cs"/>
          <w:rtl/>
        </w:rPr>
        <w:t xml:space="preserve"> כבעלי התוספות.</w:t>
      </w:r>
    </w:p>
    <w:p w14:paraId="29EBA701" w14:textId="77777777" w:rsidR="004B0552" w:rsidRPr="004B0552" w:rsidRDefault="004B0552" w:rsidP="004B0552">
      <w:pPr>
        <w:contextualSpacing/>
        <w:rPr>
          <w:rFonts w:ascii="David" w:eastAsia="Calibri" w:hAnsi="David" w:cs="David"/>
        </w:rPr>
      </w:pPr>
      <w:r w:rsidRPr="004B0552">
        <w:rPr>
          <w:rFonts w:ascii="David" w:eastAsia="Calibri" w:hAnsi="David" w:cs="David" w:hint="cs"/>
          <w:rtl/>
        </w:rPr>
        <w:t xml:space="preserve">על כן נכון למעשה לעונה לזימון להמתין ולשמוע את ברכת 'הזן' מפי המזמן, ולהתחיל את ברכתו לאחר מכן (לכל הפחות לשיטת האשכנזים). </w:t>
      </w:r>
    </w:p>
    <w:p w14:paraId="3D7F11E3" w14:textId="77777777" w:rsidR="00B42B24" w:rsidRPr="004B0552" w:rsidRDefault="00B42B24" w:rsidP="00B42B24">
      <w:pPr>
        <w:contextualSpacing/>
        <w:rPr>
          <w:rFonts w:ascii="David" w:eastAsia="Calibri" w:hAnsi="David" w:cs="David"/>
          <w:rtl/>
        </w:rPr>
      </w:pPr>
    </w:p>
    <w:p w14:paraId="68ABB760" w14:textId="77777777" w:rsidR="00A874A6" w:rsidRDefault="00D56285" w:rsidP="00A874A6">
      <w:pPr>
        <w:contextualSpacing/>
        <w:jc w:val="center"/>
        <w:rPr>
          <w:rFonts w:cs="David"/>
          <w:b/>
          <w:bCs/>
          <w:color w:val="0070C0"/>
          <w:lang w:eastAsia="he-IL"/>
        </w:rPr>
      </w:pPr>
      <w:hyperlink r:id="rId18"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7434A782" w14:textId="77777777" w:rsidR="002F361A" w:rsidRDefault="002F361A" w:rsidP="00A874A6">
      <w:pPr>
        <w:contextualSpacing/>
        <w:jc w:val="center"/>
        <w:rPr>
          <w:rFonts w:cs="David"/>
          <w:b/>
          <w:bCs/>
          <w:color w:val="0070C0"/>
          <w:rtl/>
          <w:lang w:eastAsia="he-IL"/>
        </w:rPr>
      </w:pPr>
    </w:p>
    <w:p w14:paraId="14F69660" w14:textId="21953590" w:rsidR="0087202D" w:rsidRDefault="009A52D7" w:rsidP="00A874A6">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9" w:history="1">
        <w:r w:rsidRPr="00DD6714">
          <w:rPr>
            <w:color w:val="0070C0"/>
          </w:rPr>
          <w:t>info@eretzhemdah.org</w:t>
        </w:r>
      </w:hyperlink>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3A70F2" w:rsidRPr="003A5DA7" w14:paraId="62DD39F6" w14:textId="77777777" w:rsidTr="002F361A">
        <w:tc>
          <w:tcPr>
            <w:tcW w:w="6832" w:type="dxa"/>
            <w:gridSpan w:val="15"/>
            <w:tcBorders>
              <w:top w:val="single" w:sz="4" w:space="0" w:color="auto"/>
              <w:left w:val="single" w:sz="4" w:space="0" w:color="auto"/>
              <w:bottom w:val="nil"/>
              <w:right w:val="nil"/>
            </w:tcBorders>
            <w:vAlign w:val="center"/>
          </w:tcPr>
          <w:p w14:paraId="20315117" w14:textId="77777777" w:rsidR="003A70F2" w:rsidRPr="00F5215F" w:rsidRDefault="003A70F2" w:rsidP="00C96CCA">
            <w:pPr>
              <w:spacing w:line="276" w:lineRule="auto"/>
              <w:contextualSpacing/>
              <w:jc w:val="center"/>
              <w:rPr>
                <w:rFonts w:cs="David"/>
                <w:b/>
                <w:bCs/>
                <w:sz w:val="6"/>
                <w:szCs w:val="6"/>
                <w:u w:val="single"/>
                <w:rtl/>
              </w:rPr>
            </w:pPr>
          </w:p>
          <w:p w14:paraId="1F00A411" w14:textId="77777777" w:rsidR="003A70F2" w:rsidRPr="00785CA6" w:rsidRDefault="003A70F2" w:rsidP="00C96CC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6A2E94E" w14:textId="788CFF46" w:rsidR="003A70F2" w:rsidRPr="00C55092" w:rsidRDefault="003A70F2" w:rsidP="00C96CCA">
            <w:pPr>
              <w:spacing w:line="276" w:lineRule="auto"/>
              <w:contextualSpacing/>
              <w:jc w:val="center"/>
              <w:rPr>
                <w:rFonts w:ascii="Calibri" w:eastAsia="Calibri" w:hAnsi="Calibri" w:cs="David"/>
                <w:b/>
                <w:bCs/>
                <w:color w:val="0070C0"/>
                <w:sz w:val="21"/>
                <w:szCs w:val="21"/>
                <w:rtl/>
              </w:rPr>
            </w:pPr>
          </w:p>
        </w:tc>
      </w:tr>
      <w:tr w:rsidR="003A70F2" w:rsidRPr="003A5DA7" w14:paraId="6C348CC9" w14:textId="77777777" w:rsidTr="002F361A">
        <w:tc>
          <w:tcPr>
            <w:tcW w:w="1583" w:type="dxa"/>
            <w:gridSpan w:val="2"/>
            <w:tcBorders>
              <w:top w:val="nil"/>
              <w:left w:val="single" w:sz="4" w:space="0" w:color="auto"/>
              <w:bottom w:val="nil"/>
              <w:right w:val="nil"/>
            </w:tcBorders>
            <w:vAlign w:val="center"/>
          </w:tcPr>
          <w:p w14:paraId="5C059078" w14:textId="77777777" w:rsidR="003A70F2" w:rsidRPr="003A5DA7" w:rsidRDefault="003A70F2" w:rsidP="00C96CCA">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5C844055"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58A4D691" w14:textId="77777777" w:rsidR="003A70F2" w:rsidRPr="003A5DA7" w:rsidRDefault="003A70F2" w:rsidP="00C96CCA">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46C862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10822791" w14:textId="77777777" w:rsidR="003A70F2" w:rsidRPr="00C55092" w:rsidRDefault="003A70F2" w:rsidP="00C96CCA">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3A70F2" w:rsidRPr="003A5DA7" w14:paraId="1D95FF18" w14:textId="77777777" w:rsidTr="002F361A">
        <w:tc>
          <w:tcPr>
            <w:tcW w:w="1302" w:type="dxa"/>
            <w:tcBorders>
              <w:top w:val="nil"/>
              <w:left w:val="single" w:sz="4" w:space="0" w:color="auto"/>
              <w:bottom w:val="nil"/>
              <w:right w:val="nil"/>
            </w:tcBorders>
            <w:vAlign w:val="center"/>
          </w:tcPr>
          <w:p w14:paraId="3709F42E" w14:textId="77777777" w:rsidR="003A70F2" w:rsidRPr="003A5DA7" w:rsidRDefault="003A70F2" w:rsidP="00C96CC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13E9579D"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9D2DF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9DFA28C" w14:textId="77777777" w:rsidR="003A70F2" w:rsidRPr="003A5DA7" w:rsidRDefault="003A70F2" w:rsidP="00C96CC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036B92D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50EC8ACF"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3A70F2" w:rsidRPr="003A5DA7" w14:paraId="10F8C93B" w14:textId="77777777" w:rsidTr="002F361A">
        <w:tc>
          <w:tcPr>
            <w:tcW w:w="1594" w:type="dxa"/>
            <w:gridSpan w:val="3"/>
            <w:tcBorders>
              <w:top w:val="nil"/>
              <w:left w:val="single" w:sz="4" w:space="0" w:color="auto"/>
              <w:bottom w:val="nil"/>
              <w:right w:val="nil"/>
            </w:tcBorders>
            <w:vAlign w:val="center"/>
          </w:tcPr>
          <w:p w14:paraId="1E67F1AB"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14AEFE92"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1868EB87" w14:textId="77777777" w:rsidR="003A70F2" w:rsidRPr="003A5DA7" w:rsidRDefault="003A70F2" w:rsidP="00C96CC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0C204E45"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4E6777B2"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7267BE3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3A70F2" w:rsidRPr="003A5DA7" w14:paraId="179B4FC3" w14:textId="77777777" w:rsidTr="002F361A">
        <w:tc>
          <w:tcPr>
            <w:tcW w:w="2308" w:type="dxa"/>
            <w:gridSpan w:val="5"/>
            <w:tcBorders>
              <w:top w:val="nil"/>
              <w:left w:val="single" w:sz="4" w:space="0" w:color="auto"/>
              <w:bottom w:val="nil"/>
              <w:right w:val="nil"/>
            </w:tcBorders>
            <w:vAlign w:val="center"/>
          </w:tcPr>
          <w:p w14:paraId="334C851F"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199BC1F1"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076BFF90" w14:textId="77777777" w:rsidR="003A70F2" w:rsidRPr="003A5DA7" w:rsidRDefault="003A70F2" w:rsidP="00C96CC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5537F5F4" w14:textId="77777777" w:rsidR="003A70F2" w:rsidRPr="003A5DA7" w:rsidRDefault="003A70F2"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5EE365C9" w14:textId="77777777" w:rsidR="003A70F2" w:rsidRPr="000F56BB" w:rsidRDefault="003A70F2" w:rsidP="00C96CC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54C4A92F" w14:textId="77777777" w:rsidR="003A70F2" w:rsidRPr="003A5DA7" w:rsidRDefault="003A70F2" w:rsidP="00C96CCA">
            <w:pPr>
              <w:spacing w:line="276" w:lineRule="auto"/>
              <w:contextualSpacing/>
              <w:jc w:val="center"/>
              <w:rPr>
                <w:rFonts w:cs="David"/>
                <w:b/>
                <w:bCs/>
                <w:color w:val="0070C0"/>
                <w:sz w:val="20"/>
                <w:szCs w:val="20"/>
                <w:rtl/>
              </w:rPr>
            </w:pPr>
          </w:p>
        </w:tc>
      </w:tr>
      <w:tr w:rsidR="003A70F2" w:rsidRPr="003A5DA7" w14:paraId="04F00324" w14:textId="77777777" w:rsidTr="002F361A">
        <w:tc>
          <w:tcPr>
            <w:tcW w:w="2297" w:type="dxa"/>
            <w:gridSpan w:val="4"/>
            <w:tcBorders>
              <w:top w:val="nil"/>
              <w:left w:val="single" w:sz="4" w:space="0" w:color="auto"/>
              <w:bottom w:val="single" w:sz="4" w:space="0" w:color="auto"/>
              <w:right w:val="nil"/>
            </w:tcBorders>
            <w:vAlign w:val="center"/>
          </w:tcPr>
          <w:p w14:paraId="3C4F9D98"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555D9B12"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0312ECFE" w14:textId="77777777" w:rsidR="003A70F2" w:rsidRPr="003A5DA7" w:rsidRDefault="003A70F2"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81A6B86" w14:textId="77777777" w:rsidR="003A70F2" w:rsidRPr="00F5215F" w:rsidRDefault="003A70F2" w:rsidP="00C96CCA">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789B9D57" w14:textId="77777777" w:rsidR="003A70F2" w:rsidRPr="007025EE" w:rsidRDefault="003A70F2" w:rsidP="00C96CCA">
            <w:pPr>
              <w:spacing w:line="276" w:lineRule="auto"/>
              <w:contextualSpacing/>
              <w:rPr>
                <w:rFonts w:cs="David"/>
                <w:b/>
                <w:bCs/>
                <w:color w:val="0070C0"/>
                <w:sz w:val="20"/>
                <w:szCs w:val="20"/>
                <w:rtl/>
              </w:rPr>
            </w:pPr>
          </w:p>
        </w:tc>
      </w:tr>
    </w:tbl>
    <w:bookmarkEnd w:id="0"/>
    <w:p w14:paraId="5C77A1B6" w14:textId="0CEB1963"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622215" w:rsidRDefault="009A52D7" w:rsidP="00622215">
      <w:pPr>
        <w:widowControl w:val="0"/>
        <w:autoSpaceDE w:val="0"/>
        <w:autoSpaceDN w:val="0"/>
        <w:adjustRightInd w:val="0"/>
        <w:contextualSpacing/>
        <w:rPr>
          <w:rFonts w:cs="David"/>
          <w:noProof/>
          <w:sz w:val="20"/>
          <w:szCs w:val="20"/>
          <w:rtl/>
        </w:rPr>
      </w:pPr>
    </w:p>
    <w:p w14:paraId="10973292" w14:textId="77777777" w:rsidR="000A1BD1" w:rsidRPr="000A1BD1" w:rsidRDefault="000A1BD1" w:rsidP="000A1BD1">
      <w:pPr>
        <w:widowControl w:val="0"/>
        <w:autoSpaceDE w:val="0"/>
        <w:autoSpaceDN w:val="0"/>
        <w:adjustRightInd w:val="0"/>
        <w:ind w:right="-426"/>
        <w:contextualSpacing/>
        <w:jc w:val="both"/>
        <w:rPr>
          <w:rFonts w:cs="David"/>
          <w:rtl/>
          <w:lang w:eastAsia="he-IL"/>
        </w:rPr>
      </w:pPr>
      <w:r w:rsidRPr="000A1BD1">
        <w:rPr>
          <w:rFonts w:cs="David"/>
          <w:rtl/>
          <w:lang w:eastAsia="he-IL"/>
        </w:rPr>
        <w:t xml:space="preserve">(מתוך </w:t>
      </w:r>
      <w:proofErr w:type="spellStart"/>
      <w:r w:rsidRPr="000A1BD1">
        <w:rPr>
          <w:rFonts w:cs="David"/>
          <w:rtl/>
          <w:lang w:eastAsia="he-IL"/>
        </w:rPr>
        <w:t>ח"ה</w:t>
      </w:r>
      <w:proofErr w:type="spellEnd"/>
      <w:r w:rsidRPr="000A1BD1">
        <w:rPr>
          <w:rFonts w:cs="David"/>
          <w:rtl/>
          <w:lang w:eastAsia="he-IL"/>
        </w:rPr>
        <w:t>)</w:t>
      </w:r>
    </w:p>
    <w:p w14:paraId="137BD7FE" w14:textId="77777777" w:rsidR="000A1BD1" w:rsidRPr="00622215" w:rsidRDefault="000A1BD1" w:rsidP="00622215">
      <w:pPr>
        <w:widowControl w:val="0"/>
        <w:autoSpaceDE w:val="0"/>
        <w:autoSpaceDN w:val="0"/>
        <w:adjustRightInd w:val="0"/>
        <w:ind w:right="-426"/>
        <w:contextualSpacing/>
        <w:rPr>
          <w:rFonts w:cs="David"/>
          <w:sz w:val="20"/>
          <w:szCs w:val="20"/>
          <w:rtl/>
          <w:lang w:eastAsia="he-IL"/>
        </w:rPr>
      </w:pPr>
    </w:p>
    <w:p w14:paraId="1119F3A8" w14:textId="77777777" w:rsidR="000A1BD1" w:rsidRPr="000A1BD1" w:rsidRDefault="000A1BD1" w:rsidP="000A1BD1">
      <w:pPr>
        <w:rPr>
          <w:rFonts w:ascii="David" w:hAnsi="David" w:cs="David"/>
          <w:b/>
          <w:bCs/>
          <w:color w:val="0070C0"/>
          <w:kern w:val="2"/>
          <w:sz w:val="30"/>
          <w:szCs w:val="30"/>
          <w:rtl/>
          <w14:ligatures w14:val="standardContextual"/>
        </w:rPr>
      </w:pPr>
      <w:r w:rsidRPr="000A1BD1">
        <w:rPr>
          <w:rFonts w:ascii="David" w:hAnsi="David" w:cs="David"/>
          <w:b/>
          <w:bCs/>
          <w:color w:val="0070C0"/>
          <w:kern w:val="2"/>
          <w:sz w:val="30"/>
          <w:szCs w:val="30"/>
          <w:rtl/>
          <w14:ligatures w14:val="standardContextual"/>
        </w:rPr>
        <w:t>מסחר באינטרנט ושמירת השבת</w:t>
      </w:r>
    </w:p>
    <w:p w14:paraId="2BA53957" w14:textId="77777777" w:rsidR="000A1BD1" w:rsidRPr="00622215" w:rsidRDefault="000A1BD1" w:rsidP="00622215">
      <w:pPr>
        <w:rPr>
          <w:rFonts w:cs="David"/>
          <w:sz w:val="20"/>
          <w:szCs w:val="20"/>
          <w:rtl/>
          <w:lang w:eastAsia="he-IL"/>
        </w:rPr>
      </w:pPr>
    </w:p>
    <w:p w14:paraId="7C95991E" w14:textId="77777777" w:rsidR="000A1BD1" w:rsidRPr="00622215" w:rsidRDefault="000A1BD1" w:rsidP="000A1BD1">
      <w:pPr>
        <w:rPr>
          <w:rFonts w:cs="David"/>
          <w:b/>
          <w:bCs/>
          <w:u w:val="single"/>
          <w:rtl/>
          <w:lang w:eastAsia="he-IL"/>
        </w:rPr>
      </w:pPr>
      <w:r w:rsidRPr="00622215">
        <w:rPr>
          <w:rFonts w:cs="David"/>
          <w:b/>
          <w:bCs/>
          <w:u w:val="single"/>
          <w:rtl/>
          <w:lang w:eastAsia="he-IL"/>
        </w:rPr>
        <w:t>הקדמה</w:t>
      </w:r>
    </w:p>
    <w:p w14:paraId="121FFDED" w14:textId="77777777" w:rsidR="000A1BD1" w:rsidRPr="00622215" w:rsidRDefault="000A1BD1" w:rsidP="000A1BD1">
      <w:pPr>
        <w:rPr>
          <w:rFonts w:cs="David"/>
          <w:rtl/>
          <w:lang w:eastAsia="he-IL"/>
        </w:rPr>
      </w:pPr>
      <w:r w:rsidRPr="00622215">
        <w:rPr>
          <w:rFonts w:cs="David"/>
          <w:rtl/>
          <w:lang w:eastAsia="he-IL"/>
        </w:rPr>
        <w:t xml:space="preserve">התפתחותו המדהימה של העולם הווירטואלי </w:t>
      </w:r>
      <w:r w:rsidRPr="00622215">
        <w:rPr>
          <w:rFonts w:cs="David"/>
          <w:lang w:eastAsia="he-IL"/>
        </w:rPr>
        <w:t>–</w:t>
      </w:r>
      <w:r w:rsidRPr="00622215">
        <w:rPr>
          <w:rFonts w:cs="David"/>
          <w:rtl/>
          <w:lang w:eastAsia="he-IL"/>
        </w:rPr>
        <w:t xml:space="preserve"> האינטרנט, בשנים האחרונות, מציבה אתגר הלכי ורוחני בפני מרנן ורבנן. פוסקי ההלכה צריכים לתת דעתם לסכנות המרובות מצד אחד וליתרונות העצומים מצד שני.</w:t>
      </w:r>
    </w:p>
    <w:p w14:paraId="705D2178" w14:textId="77777777" w:rsidR="000A1BD1" w:rsidRPr="00622215" w:rsidRDefault="000A1BD1" w:rsidP="000A1BD1">
      <w:pPr>
        <w:rPr>
          <w:rFonts w:cs="David"/>
          <w:rtl/>
          <w:lang w:eastAsia="he-IL"/>
        </w:rPr>
      </w:pPr>
      <w:r w:rsidRPr="00622215">
        <w:rPr>
          <w:rFonts w:cs="David"/>
          <w:rtl/>
          <w:lang w:eastAsia="he-IL"/>
        </w:rPr>
        <w:t xml:space="preserve">בקונטרס זה נעשה </w:t>
      </w:r>
      <w:proofErr w:type="spellStart"/>
      <w:r w:rsidRPr="00622215">
        <w:rPr>
          <w:rFonts w:cs="David"/>
          <w:rtl/>
          <w:lang w:eastAsia="he-IL"/>
        </w:rPr>
        <w:t>נסיון</w:t>
      </w:r>
      <w:proofErr w:type="spellEnd"/>
      <w:r w:rsidRPr="00622215">
        <w:rPr>
          <w:rFonts w:cs="David"/>
          <w:rtl/>
          <w:lang w:eastAsia="he-IL"/>
        </w:rPr>
        <w:t xml:space="preserve"> לחבר ישן וחדש ולנסות למצוא את המקורות בדברי חז"ל ובדברי הראשונים והאחרונים למציאות החדשה, </w:t>
      </w:r>
      <w:proofErr w:type="spellStart"/>
      <w:r w:rsidRPr="00622215">
        <w:rPr>
          <w:rFonts w:cs="David"/>
          <w:rtl/>
          <w:lang w:eastAsia="he-IL"/>
        </w:rPr>
        <w:t>הדימיונית</w:t>
      </w:r>
      <w:proofErr w:type="spellEnd"/>
      <w:r w:rsidRPr="00622215">
        <w:rPr>
          <w:rFonts w:cs="David"/>
          <w:rtl/>
          <w:lang w:eastAsia="he-IL"/>
        </w:rPr>
        <w:t xml:space="preserve"> - תרתי משמע.</w:t>
      </w:r>
    </w:p>
    <w:p w14:paraId="3FD9F786" w14:textId="77777777" w:rsidR="000A1BD1" w:rsidRPr="00622215" w:rsidRDefault="000A1BD1" w:rsidP="000A1BD1">
      <w:pPr>
        <w:rPr>
          <w:rFonts w:cs="David"/>
          <w:rtl/>
          <w:lang w:eastAsia="he-IL"/>
        </w:rPr>
      </w:pPr>
      <w:r w:rsidRPr="00622215">
        <w:rPr>
          <w:rFonts w:cs="David"/>
          <w:rtl/>
          <w:lang w:eastAsia="he-IL"/>
        </w:rPr>
        <w:t>בהשארת אתר אינטרנט בבעלות יהודי פתוח בשבת וביו"ט יכולות להתעורר שאלות הנוגעות לכמה וכמה  איסורים.</w:t>
      </w:r>
    </w:p>
    <w:p w14:paraId="27F99E22" w14:textId="77777777" w:rsidR="000A1BD1" w:rsidRPr="00622215" w:rsidRDefault="000A1BD1" w:rsidP="000A1BD1">
      <w:pPr>
        <w:numPr>
          <w:ilvl w:val="0"/>
          <w:numId w:val="29"/>
        </w:numPr>
        <w:ind w:left="0" w:firstLine="0"/>
        <w:rPr>
          <w:rFonts w:cs="David"/>
          <w:rtl/>
          <w:lang w:eastAsia="he-IL"/>
        </w:rPr>
      </w:pPr>
      <w:r w:rsidRPr="00622215">
        <w:rPr>
          <w:rFonts w:cs="David"/>
          <w:rtl/>
          <w:lang w:eastAsia="he-IL"/>
        </w:rPr>
        <w:t>"לפני עיוור" ו"מסייע לעוברי עבירה";</w:t>
      </w:r>
    </w:p>
    <w:p w14:paraId="2E3438A6" w14:textId="77777777" w:rsidR="000A1BD1" w:rsidRPr="00622215" w:rsidRDefault="000A1BD1" w:rsidP="000A1BD1">
      <w:pPr>
        <w:numPr>
          <w:ilvl w:val="0"/>
          <w:numId w:val="29"/>
        </w:numPr>
        <w:ind w:left="0" w:firstLine="0"/>
        <w:rPr>
          <w:rFonts w:cs="David"/>
          <w:rtl/>
          <w:lang w:eastAsia="he-IL"/>
        </w:rPr>
      </w:pPr>
      <w:r w:rsidRPr="00622215">
        <w:rPr>
          <w:rFonts w:cs="David"/>
          <w:rtl/>
          <w:lang w:eastAsia="he-IL"/>
        </w:rPr>
        <w:t>מקח וממכר בשבת (באתרים מסחריים);</w:t>
      </w:r>
    </w:p>
    <w:p w14:paraId="246DF7EC" w14:textId="77777777" w:rsidR="000A1BD1" w:rsidRPr="00622215" w:rsidRDefault="000A1BD1" w:rsidP="000A1BD1">
      <w:pPr>
        <w:numPr>
          <w:ilvl w:val="0"/>
          <w:numId w:val="29"/>
        </w:numPr>
        <w:ind w:left="0" w:firstLine="0"/>
        <w:rPr>
          <w:rFonts w:cs="David"/>
          <w:rtl/>
          <w:lang w:eastAsia="he-IL"/>
        </w:rPr>
      </w:pPr>
      <w:r w:rsidRPr="00622215">
        <w:rPr>
          <w:rFonts w:cs="David"/>
          <w:rtl/>
          <w:lang w:eastAsia="he-IL"/>
        </w:rPr>
        <w:t xml:space="preserve">שכר שבת (באתרים הגובים דמי-שימוש, בחנויות ושווקים </w:t>
      </w:r>
      <w:proofErr w:type="spellStart"/>
      <w:r w:rsidRPr="00622215">
        <w:rPr>
          <w:rFonts w:cs="David"/>
          <w:rtl/>
          <w:lang w:eastAsia="he-IL"/>
        </w:rPr>
        <w:t>וירטואלים</w:t>
      </w:r>
      <w:proofErr w:type="spellEnd"/>
      <w:r w:rsidRPr="00622215">
        <w:rPr>
          <w:rFonts w:cs="David"/>
          <w:rtl/>
          <w:lang w:eastAsia="he-IL"/>
        </w:rPr>
        <w:t>);</w:t>
      </w:r>
    </w:p>
    <w:p w14:paraId="29CCD461" w14:textId="77777777" w:rsidR="000A1BD1" w:rsidRPr="00622215" w:rsidRDefault="000A1BD1" w:rsidP="000A1BD1">
      <w:pPr>
        <w:numPr>
          <w:ilvl w:val="0"/>
          <w:numId w:val="29"/>
        </w:numPr>
        <w:ind w:left="0" w:firstLine="0"/>
        <w:rPr>
          <w:rFonts w:cs="David"/>
          <w:rtl/>
          <w:lang w:eastAsia="he-IL"/>
        </w:rPr>
      </w:pPr>
      <w:r w:rsidRPr="00622215">
        <w:rPr>
          <w:rFonts w:cs="David"/>
          <w:rtl/>
          <w:lang w:eastAsia="he-IL"/>
        </w:rPr>
        <w:t>הנאה מחילול שבת (מאתרים מסחריים);</w:t>
      </w:r>
    </w:p>
    <w:p w14:paraId="31FC5732" w14:textId="77777777" w:rsidR="000A1BD1" w:rsidRPr="00622215" w:rsidRDefault="000A1BD1" w:rsidP="000A1BD1">
      <w:pPr>
        <w:numPr>
          <w:ilvl w:val="0"/>
          <w:numId w:val="29"/>
        </w:numPr>
        <w:ind w:left="0" w:firstLine="0"/>
        <w:rPr>
          <w:rFonts w:cs="David"/>
          <w:rtl/>
          <w:lang w:eastAsia="he-IL"/>
        </w:rPr>
      </w:pPr>
      <w:r w:rsidRPr="00622215">
        <w:rPr>
          <w:rFonts w:cs="David"/>
          <w:rtl/>
          <w:lang w:eastAsia="he-IL"/>
        </w:rPr>
        <w:t>מראית-עין וחשד;</w:t>
      </w:r>
    </w:p>
    <w:p w14:paraId="38A9D75B" w14:textId="77777777" w:rsidR="000A1BD1" w:rsidRPr="00622215" w:rsidRDefault="000A1BD1" w:rsidP="000A1BD1">
      <w:pPr>
        <w:numPr>
          <w:ilvl w:val="0"/>
          <w:numId w:val="29"/>
        </w:numPr>
        <w:ind w:left="0" w:firstLine="0"/>
        <w:rPr>
          <w:rFonts w:cs="David"/>
          <w:rtl/>
          <w:lang w:eastAsia="he-IL"/>
        </w:rPr>
      </w:pPr>
      <w:proofErr w:type="spellStart"/>
      <w:r w:rsidRPr="00622215">
        <w:rPr>
          <w:rFonts w:cs="David"/>
          <w:rtl/>
          <w:lang w:eastAsia="he-IL"/>
        </w:rPr>
        <w:t>זילותא</w:t>
      </w:r>
      <w:proofErr w:type="spellEnd"/>
      <w:r w:rsidRPr="00622215">
        <w:rPr>
          <w:rFonts w:cs="David"/>
          <w:rtl/>
          <w:lang w:eastAsia="he-IL"/>
        </w:rPr>
        <w:t xml:space="preserve"> </w:t>
      </w:r>
      <w:proofErr w:type="spellStart"/>
      <w:r w:rsidRPr="00622215">
        <w:rPr>
          <w:rFonts w:cs="David"/>
          <w:rtl/>
          <w:lang w:eastAsia="he-IL"/>
        </w:rPr>
        <w:t>דשבת</w:t>
      </w:r>
      <w:proofErr w:type="spellEnd"/>
      <w:r w:rsidRPr="00622215">
        <w:rPr>
          <w:rFonts w:cs="David"/>
          <w:rtl/>
          <w:lang w:eastAsia="he-IL"/>
        </w:rPr>
        <w:t>.</w:t>
      </w:r>
    </w:p>
    <w:p w14:paraId="66B78EC1" w14:textId="77777777" w:rsidR="000A1BD1" w:rsidRPr="00622215" w:rsidRDefault="000A1BD1" w:rsidP="000A1BD1">
      <w:pPr>
        <w:rPr>
          <w:rFonts w:cs="David"/>
          <w:rtl/>
          <w:lang w:eastAsia="he-IL"/>
        </w:rPr>
      </w:pPr>
      <w:r w:rsidRPr="00622215">
        <w:rPr>
          <w:rFonts w:cs="David"/>
          <w:rtl/>
          <w:lang w:eastAsia="he-IL"/>
        </w:rPr>
        <w:t>ונדון בהם אחד לאחד ונבדוק האם אכן הבעלים עוברים על האיסורים הנ"ל.</w:t>
      </w:r>
    </w:p>
    <w:p w14:paraId="2AEC7402" w14:textId="77777777" w:rsidR="000A1BD1" w:rsidRPr="00622215" w:rsidRDefault="000A1BD1" w:rsidP="000A1BD1">
      <w:pPr>
        <w:rPr>
          <w:rFonts w:cs="David"/>
          <w:sz w:val="20"/>
          <w:szCs w:val="20"/>
          <w:rtl/>
          <w:lang w:eastAsia="he-IL"/>
        </w:rPr>
      </w:pPr>
    </w:p>
    <w:p w14:paraId="4C2B27CC" w14:textId="77777777" w:rsidR="000A1BD1" w:rsidRPr="00622215" w:rsidRDefault="000A1BD1" w:rsidP="000A1BD1">
      <w:pPr>
        <w:rPr>
          <w:rFonts w:cs="David"/>
          <w:b/>
          <w:bCs/>
          <w:rtl/>
          <w:lang w:eastAsia="he-IL"/>
        </w:rPr>
      </w:pPr>
      <w:r w:rsidRPr="00622215">
        <w:rPr>
          <w:rFonts w:cs="David"/>
          <w:b/>
          <w:bCs/>
          <w:rtl/>
          <w:lang w:eastAsia="he-IL"/>
        </w:rPr>
        <w:t xml:space="preserve">א. </w:t>
      </w:r>
      <w:r w:rsidRPr="00622215">
        <w:rPr>
          <w:rFonts w:cs="David"/>
          <w:b/>
          <w:bCs/>
          <w:u w:val="single"/>
          <w:rtl/>
          <w:lang w:eastAsia="he-IL"/>
        </w:rPr>
        <w:t>איסור לפני עיוור ומסייע לעוברי עבירה</w:t>
      </w:r>
    </w:p>
    <w:p w14:paraId="2EA2AA5B" w14:textId="77777777" w:rsidR="000A1BD1" w:rsidRPr="00622215" w:rsidRDefault="000A1BD1" w:rsidP="000A1BD1">
      <w:pPr>
        <w:rPr>
          <w:rFonts w:cs="David"/>
          <w:rtl/>
          <w:lang w:eastAsia="he-IL"/>
        </w:rPr>
      </w:pPr>
      <w:r w:rsidRPr="00622215">
        <w:rPr>
          <w:rFonts w:cs="David"/>
          <w:rtl/>
          <w:lang w:eastAsia="he-IL"/>
        </w:rPr>
        <w:t xml:space="preserve">התורה הזהירה "ולפני עור לא </w:t>
      </w:r>
      <w:proofErr w:type="spellStart"/>
      <w:r w:rsidRPr="00622215">
        <w:rPr>
          <w:rFonts w:cs="David"/>
          <w:rtl/>
          <w:lang w:eastAsia="he-IL"/>
        </w:rPr>
        <w:t>תתן</w:t>
      </w:r>
      <w:proofErr w:type="spellEnd"/>
      <w:r w:rsidRPr="00622215">
        <w:rPr>
          <w:rFonts w:cs="David"/>
          <w:rtl/>
          <w:lang w:eastAsia="he-IL"/>
        </w:rPr>
        <w:t xml:space="preserve"> מכשל"</w:t>
      </w:r>
      <w:r w:rsidRPr="00622215">
        <w:rPr>
          <w:rFonts w:cs="David" w:hint="cs"/>
          <w:vertAlign w:val="superscript"/>
          <w:rtl/>
          <w:lang w:eastAsia="he-IL"/>
        </w:rPr>
        <w:t>1</w:t>
      </w:r>
      <w:r w:rsidRPr="00622215">
        <w:rPr>
          <w:rFonts w:cs="David"/>
          <w:rtl/>
          <w:lang w:eastAsia="he-IL"/>
        </w:rPr>
        <w:t>. איסור זה כולל גם הכשלת אדם מישראל בעבירה</w:t>
      </w:r>
      <w:r w:rsidRPr="00622215">
        <w:rPr>
          <w:rFonts w:cs="David" w:hint="cs"/>
          <w:vertAlign w:val="superscript"/>
          <w:rtl/>
          <w:lang w:eastAsia="he-IL"/>
        </w:rPr>
        <w:t>2</w:t>
      </w:r>
      <w:r w:rsidRPr="00622215">
        <w:rPr>
          <w:rFonts w:cs="David"/>
          <w:rtl/>
          <w:lang w:eastAsia="he-IL"/>
        </w:rPr>
        <w:t>. מאחר שצרכן אינטרנט הגולש בשבת עובר בוודאי על איסורי דרבנן, ואולי אף על איסורי תורה</w:t>
      </w:r>
      <w:r w:rsidRPr="00622215">
        <w:rPr>
          <w:rFonts w:cs="David" w:hint="cs"/>
          <w:vertAlign w:val="superscript"/>
          <w:rtl/>
          <w:lang w:eastAsia="he-IL"/>
        </w:rPr>
        <w:t>3</w:t>
      </w:r>
      <w:r w:rsidRPr="00622215">
        <w:rPr>
          <w:rFonts w:cs="David"/>
          <w:rtl/>
          <w:lang w:eastAsia="he-IL"/>
        </w:rPr>
        <w:t>, יש לדון אם בעלי</w:t>
      </w:r>
      <w:r w:rsidRPr="00622215">
        <w:rPr>
          <w:rFonts w:cs="David" w:hint="cs"/>
          <w:rtl/>
          <w:lang w:eastAsia="he-IL"/>
        </w:rPr>
        <w:t xml:space="preserve"> ה</w:t>
      </w:r>
      <w:r w:rsidRPr="00622215">
        <w:rPr>
          <w:rFonts w:cs="David"/>
          <w:rtl/>
          <w:lang w:eastAsia="he-IL"/>
        </w:rPr>
        <w:t>אתר המשאירים את האתר פועל בשבת עוברים בשל כך על איסור "לפני עיור" או איסור "מסייע לעוברי עבירה"</w:t>
      </w:r>
      <w:r w:rsidRPr="00622215">
        <w:rPr>
          <w:rFonts w:cs="David" w:hint="cs"/>
          <w:vertAlign w:val="superscript"/>
          <w:rtl/>
          <w:lang w:eastAsia="he-IL"/>
        </w:rPr>
        <w:t>4</w:t>
      </w:r>
      <w:r w:rsidRPr="00622215">
        <w:rPr>
          <w:rFonts w:cs="David"/>
          <w:rtl/>
          <w:lang w:eastAsia="he-IL"/>
        </w:rPr>
        <w:t>.</w:t>
      </w:r>
    </w:p>
    <w:p w14:paraId="316E3874" w14:textId="77777777" w:rsidR="000A1BD1" w:rsidRPr="00622215" w:rsidRDefault="000A1BD1" w:rsidP="000A1BD1">
      <w:pPr>
        <w:contextualSpacing/>
        <w:rPr>
          <w:rFonts w:ascii="David" w:hAnsi="David" w:cs="David"/>
          <w:rtl/>
          <w:lang w:eastAsia="he-IL"/>
        </w:rPr>
      </w:pPr>
      <w:r w:rsidRPr="00622215">
        <w:rPr>
          <w:rFonts w:ascii="David" w:hAnsi="David" w:cs="David"/>
          <w:rtl/>
          <w:lang w:eastAsia="he-IL"/>
        </w:rPr>
        <w:t>הגמרא אומרת שאין עוברים על איסור "לפני עיור" אלא כאשר המוכשל לא היה יכול לעבור את העבירה ללא סיועו של המכשיל</w:t>
      </w:r>
      <w:r w:rsidRPr="00622215">
        <w:rPr>
          <w:rFonts w:ascii="David" w:hAnsi="David" w:cs="David" w:hint="cs"/>
          <w:vertAlign w:val="superscript"/>
          <w:rtl/>
          <w:lang w:eastAsia="he-IL"/>
        </w:rPr>
        <w:t>5</w:t>
      </w:r>
      <w:r w:rsidRPr="00622215">
        <w:rPr>
          <w:rFonts w:ascii="David" w:hAnsi="David" w:cs="David"/>
          <w:rtl/>
          <w:lang w:eastAsia="he-IL"/>
        </w:rPr>
        <w:t xml:space="preserve"> לפיכך - כאשר ישנם אתרים אחרים, דומים, ניתן </w:t>
      </w:r>
      <w:proofErr w:type="spellStart"/>
      <w:r w:rsidRPr="00622215">
        <w:rPr>
          <w:rFonts w:ascii="David" w:hAnsi="David" w:cs="David"/>
          <w:rtl/>
          <w:lang w:eastAsia="he-IL"/>
        </w:rPr>
        <w:t>לאמר</w:t>
      </w:r>
      <w:proofErr w:type="spellEnd"/>
      <w:r w:rsidRPr="00622215">
        <w:rPr>
          <w:rFonts w:ascii="David" w:hAnsi="David" w:cs="David"/>
          <w:rtl/>
          <w:lang w:eastAsia="he-IL"/>
        </w:rPr>
        <w:t xml:space="preserve"> שאין כאן איסור דאורייתא של "לפני עיור". ואולם לא כן כאשר מדובר באתר </w:t>
      </w:r>
      <w:proofErr w:type="spellStart"/>
      <w:r w:rsidRPr="00622215">
        <w:rPr>
          <w:rFonts w:ascii="David" w:hAnsi="David" w:cs="David"/>
          <w:rtl/>
          <w:lang w:eastAsia="he-IL"/>
        </w:rPr>
        <w:t>יחודי</w:t>
      </w:r>
      <w:proofErr w:type="spellEnd"/>
      <w:r w:rsidRPr="00622215">
        <w:rPr>
          <w:rFonts w:ascii="David" w:hAnsi="David" w:cs="David"/>
          <w:rtl/>
          <w:lang w:eastAsia="he-IL"/>
        </w:rPr>
        <w:t xml:space="preserve"> שאין דומה לו</w:t>
      </w:r>
      <w:r w:rsidRPr="00622215">
        <w:rPr>
          <w:rFonts w:ascii="David" w:hAnsi="David" w:cs="David" w:hint="cs"/>
          <w:vertAlign w:val="superscript"/>
          <w:rtl/>
          <w:lang w:eastAsia="he-IL"/>
        </w:rPr>
        <w:t>6</w:t>
      </w:r>
      <w:r w:rsidRPr="00622215">
        <w:rPr>
          <w:rFonts w:ascii="David" w:hAnsi="David" w:cs="David"/>
          <w:rtl/>
          <w:lang w:eastAsia="he-IL"/>
        </w:rPr>
        <w:t>, או באתרים שמעצם טבעם מופעלים על-ידי יהודים</w:t>
      </w:r>
      <w:r w:rsidRPr="00622215">
        <w:rPr>
          <w:rFonts w:ascii="David" w:hAnsi="David" w:cs="David" w:hint="cs"/>
          <w:vertAlign w:val="superscript"/>
          <w:rtl/>
          <w:lang w:eastAsia="he-IL"/>
        </w:rPr>
        <w:t>7</w:t>
      </w:r>
      <w:r w:rsidRPr="00622215">
        <w:rPr>
          <w:rFonts w:ascii="David" w:hAnsi="David" w:cs="David"/>
          <w:rtl/>
          <w:lang w:eastAsia="he-IL"/>
        </w:rPr>
        <w:t xml:space="preserve">. אמנם ישנה מחלוקת ראשונים גם כאשר המוכשל היה יכול </w:t>
      </w:r>
      <w:proofErr w:type="spellStart"/>
      <w:r w:rsidRPr="00622215">
        <w:rPr>
          <w:rFonts w:ascii="David" w:hAnsi="David" w:cs="David"/>
          <w:rtl/>
          <w:lang w:eastAsia="he-IL"/>
        </w:rPr>
        <w:t>לחטוא</w:t>
      </w:r>
      <w:proofErr w:type="spellEnd"/>
      <w:r w:rsidRPr="00622215">
        <w:rPr>
          <w:rFonts w:ascii="David" w:hAnsi="David" w:cs="David"/>
          <w:rtl/>
          <w:lang w:eastAsia="he-IL"/>
        </w:rPr>
        <w:t xml:space="preserve"> אף ללא עזרת המכשיל, אם בכל זאת אסור מדרבנן לסייע לו לעבור את העבירה - רמ"א מביא את שתי הדעות וכותב ש"בעל נפש יחמיר לעצמו"</w:t>
      </w:r>
      <w:r w:rsidRPr="00622215">
        <w:rPr>
          <w:rFonts w:ascii="David" w:hAnsi="David" w:cs="David" w:hint="cs"/>
          <w:vertAlign w:val="superscript"/>
          <w:rtl/>
          <w:lang w:eastAsia="he-IL"/>
        </w:rPr>
        <w:t>8</w:t>
      </w:r>
      <w:r w:rsidRPr="00622215">
        <w:rPr>
          <w:rFonts w:ascii="David" w:hAnsi="David" w:cs="David"/>
          <w:rtl/>
          <w:lang w:eastAsia="he-IL"/>
        </w:rPr>
        <w:t>, ואולם כשמדובר באיסור "מסייע", שהוא מדרבנן, ישנן דעות אחרונים שהאיסור לא חל במקרים הבאים: סיוע למומר</w:t>
      </w:r>
      <w:r w:rsidRPr="00622215">
        <w:rPr>
          <w:rFonts w:ascii="David" w:hAnsi="David" w:cs="David" w:hint="cs"/>
          <w:vertAlign w:val="superscript"/>
          <w:rtl/>
          <w:lang w:eastAsia="he-IL"/>
        </w:rPr>
        <w:t>9</w:t>
      </w:r>
      <w:r w:rsidRPr="00622215">
        <w:rPr>
          <w:rFonts w:ascii="David" w:hAnsi="David" w:cs="David"/>
          <w:rtl/>
          <w:lang w:eastAsia="he-IL"/>
        </w:rPr>
        <w:t>, סיוע למזיד</w:t>
      </w:r>
      <w:r w:rsidRPr="00622215">
        <w:rPr>
          <w:rFonts w:ascii="David" w:hAnsi="David" w:cs="David" w:hint="cs"/>
          <w:vertAlign w:val="superscript"/>
          <w:rtl/>
          <w:lang w:eastAsia="he-IL"/>
        </w:rPr>
        <w:t>10</w:t>
      </w:r>
      <w:r w:rsidRPr="00622215">
        <w:rPr>
          <w:rFonts w:ascii="David" w:hAnsi="David" w:cs="David"/>
          <w:rtl/>
          <w:lang w:eastAsia="he-IL"/>
        </w:rPr>
        <w:t>, סיוע שלא סמוך לשעת העבירה</w:t>
      </w:r>
      <w:r w:rsidRPr="00622215">
        <w:rPr>
          <w:rFonts w:ascii="David" w:hAnsi="David" w:cs="David" w:hint="cs"/>
          <w:vertAlign w:val="superscript"/>
          <w:rtl/>
          <w:lang w:eastAsia="he-IL"/>
        </w:rPr>
        <w:t>11</w:t>
      </w:r>
      <w:r w:rsidRPr="00622215">
        <w:rPr>
          <w:rFonts w:ascii="David" w:hAnsi="David" w:cs="David"/>
          <w:rtl/>
          <w:lang w:eastAsia="he-IL"/>
        </w:rPr>
        <w:t xml:space="preserve">, וסיוע כאשר העבירה אינה מתבצעת בגוף החפץ שהמסייע </w:t>
      </w:r>
      <w:r w:rsidRPr="00622215">
        <w:rPr>
          <w:rFonts w:ascii="David" w:hAnsi="David" w:cs="David"/>
          <w:lang w:eastAsia="he-IL"/>
        </w:rPr>
        <w:t>–</w:t>
      </w:r>
      <w:r w:rsidRPr="00622215">
        <w:rPr>
          <w:rFonts w:ascii="David" w:hAnsi="David" w:cs="David"/>
          <w:rtl/>
          <w:lang w:eastAsia="he-IL"/>
        </w:rPr>
        <w:t xml:space="preserve"> המכשיל מוסר </w:t>
      </w:r>
      <w:r w:rsidRPr="00622215">
        <w:rPr>
          <w:rFonts w:ascii="David" w:hAnsi="David" w:cs="David" w:hint="cs"/>
          <w:rtl/>
          <w:lang w:eastAsia="he-IL"/>
        </w:rPr>
        <w:t xml:space="preserve"> </w:t>
      </w:r>
      <w:r w:rsidRPr="00622215">
        <w:rPr>
          <w:rFonts w:ascii="David" w:hAnsi="David" w:cs="David"/>
          <w:rtl/>
          <w:lang w:eastAsia="he-IL"/>
        </w:rPr>
        <w:t>לעבריין</w:t>
      </w:r>
      <w:r w:rsidRPr="00622215">
        <w:rPr>
          <w:rFonts w:ascii="David" w:hAnsi="David" w:cs="David" w:hint="cs"/>
          <w:vertAlign w:val="superscript"/>
          <w:rtl/>
          <w:lang w:eastAsia="he-IL"/>
        </w:rPr>
        <w:t>12</w:t>
      </w:r>
      <w:r w:rsidRPr="00622215">
        <w:rPr>
          <w:rFonts w:ascii="David" w:hAnsi="David" w:cs="David"/>
          <w:rtl/>
          <w:lang w:eastAsia="he-IL"/>
        </w:rPr>
        <w:t>, והם קשורים גם לנדון דידן.</w:t>
      </w:r>
    </w:p>
    <w:p w14:paraId="6C789A59" w14:textId="77777777" w:rsidR="000A1BD1" w:rsidRPr="00622215" w:rsidRDefault="000A1BD1" w:rsidP="000A1BD1">
      <w:pPr>
        <w:contextualSpacing/>
        <w:rPr>
          <w:rFonts w:cs="David"/>
          <w:rtl/>
          <w:lang w:eastAsia="he-IL"/>
        </w:rPr>
      </w:pPr>
      <w:r w:rsidRPr="00622215">
        <w:rPr>
          <w:rFonts w:cs="David"/>
          <w:rtl/>
          <w:lang w:eastAsia="he-IL"/>
        </w:rPr>
        <w:t>סברה נוספת לצדד שאין בהשארת האתר פתוח משום איסור "לפני עיור" ו"מסייע", היא שניתן לתלות</w:t>
      </w:r>
      <w:r w:rsidRPr="00622215">
        <w:rPr>
          <w:rFonts w:cs="David" w:hint="cs"/>
          <w:vertAlign w:val="superscript"/>
          <w:rtl/>
          <w:lang w:eastAsia="he-IL"/>
        </w:rPr>
        <w:t>13</w:t>
      </w:r>
      <w:r w:rsidRPr="00622215">
        <w:rPr>
          <w:rFonts w:cs="David"/>
          <w:rtl/>
          <w:lang w:eastAsia="he-IL"/>
        </w:rPr>
        <w:t xml:space="preserve"> שהמשתמשים כולם יהיו גויים או שאיש לא ישתמש באתר. </w:t>
      </w:r>
    </w:p>
    <w:p w14:paraId="69C62ADC" w14:textId="77777777" w:rsidR="000A1BD1" w:rsidRPr="00622215" w:rsidRDefault="000A1BD1" w:rsidP="000A1BD1">
      <w:pPr>
        <w:contextualSpacing/>
        <w:rPr>
          <w:rFonts w:cs="David"/>
          <w:rtl/>
          <w:lang w:eastAsia="he-IL"/>
        </w:rPr>
      </w:pPr>
      <w:r w:rsidRPr="00622215">
        <w:rPr>
          <w:rFonts w:cs="David"/>
          <w:rtl/>
          <w:lang w:eastAsia="he-IL"/>
        </w:rPr>
        <w:t>גם יתכן שלא שייך איסור "לפני עיור" או "מסייע" כאשר בשעת העבירה</w:t>
      </w:r>
      <w:r w:rsidRPr="00622215">
        <w:rPr>
          <w:rFonts w:cs="David" w:hint="cs"/>
          <w:vertAlign w:val="superscript"/>
          <w:rtl/>
          <w:lang w:eastAsia="he-IL"/>
        </w:rPr>
        <w:t>14</w:t>
      </w:r>
      <w:r w:rsidRPr="00622215">
        <w:rPr>
          <w:rFonts w:cs="David"/>
          <w:rtl/>
          <w:lang w:eastAsia="he-IL"/>
        </w:rPr>
        <w:t xml:space="preserve"> המכשיל פאסיבי</w:t>
      </w:r>
      <w:r w:rsidRPr="00622215">
        <w:rPr>
          <w:rFonts w:cs="David" w:hint="cs"/>
          <w:vertAlign w:val="superscript"/>
          <w:rtl/>
          <w:lang w:eastAsia="he-IL"/>
        </w:rPr>
        <w:t>15</w:t>
      </w:r>
      <w:r w:rsidRPr="00622215">
        <w:rPr>
          <w:rFonts w:cs="David"/>
          <w:rtl/>
          <w:lang w:eastAsia="he-IL"/>
        </w:rPr>
        <w:t xml:space="preserve"> לחלוטין.</w:t>
      </w:r>
    </w:p>
    <w:p w14:paraId="726734BA" w14:textId="3D7BFF12" w:rsidR="000A1BD1" w:rsidRPr="00622215" w:rsidRDefault="000A1BD1" w:rsidP="000A1BD1">
      <w:pPr>
        <w:contextualSpacing/>
        <w:rPr>
          <w:rFonts w:cs="David"/>
          <w:rtl/>
          <w:lang w:eastAsia="he-IL"/>
        </w:rPr>
      </w:pPr>
      <w:r w:rsidRPr="00622215">
        <w:rPr>
          <w:rFonts w:cs="David"/>
          <w:rtl/>
          <w:lang w:eastAsia="he-IL"/>
        </w:rPr>
        <w:t>כאשר סגירת האתר בשבת כרוכה בהפסד כספי, כגון בהפסד של לקוחות גויים או במקרה שהפתרון הטכני הוא בעייתי, ניתן לצרף להיתר גם את סברת האומרים שאין חיוב להוציא הוצאות כספיות כדי להימנע מאיסור לפני עיוור</w:t>
      </w:r>
      <w:r w:rsidRPr="00622215">
        <w:rPr>
          <w:rFonts w:cs="David" w:hint="cs"/>
          <w:vertAlign w:val="superscript"/>
          <w:rtl/>
          <w:lang w:eastAsia="he-IL"/>
        </w:rPr>
        <w:t>16</w:t>
      </w:r>
      <w:r w:rsidRPr="00622215">
        <w:rPr>
          <w:rFonts w:cs="David"/>
          <w:rtl/>
          <w:lang w:eastAsia="he-IL"/>
        </w:rPr>
        <w:t>.</w:t>
      </w:r>
    </w:p>
    <w:p w14:paraId="58F5355F" w14:textId="77777777" w:rsidR="00C631D6" w:rsidRPr="00622215" w:rsidRDefault="00C631D6" w:rsidP="000A1BD1">
      <w:pPr>
        <w:contextualSpacing/>
        <w:rPr>
          <w:rFonts w:cs="David"/>
          <w:sz w:val="20"/>
          <w:szCs w:val="20"/>
          <w:rtl/>
          <w:lang w:eastAsia="he-IL"/>
        </w:rPr>
      </w:pPr>
    </w:p>
    <w:p w14:paraId="376AC27E" w14:textId="71008F07" w:rsidR="00C631D6" w:rsidRPr="00622215" w:rsidRDefault="00C631D6" w:rsidP="000A1BD1">
      <w:pPr>
        <w:contextualSpacing/>
        <w:rPr>
          <w:rFonts w:cs="David"/>
          <w:rtl/>
          <w:lang w:eastAsia="he-IL"/>
        </w:rPr>
      </w:pPr>
      <w:r w:rsidRPr="00622215">
        <w:rPr>
          <w:rFonts w:cs="David" w:hint="cs"/>
          <w:rtl/>
          <w:lang w:eastAsia="he-IL"/>
        </w:rPr>
        <w:t>(בע"ה, המשך יבוא...)</w:t>
      </w:r>
    </w:p>
    <w:p w14:paraId="7C5EB89B" w14:textId="77777777" w:rsidR="000A1BD1" w:rsidRPr="00622215" w:rsidRDefault="000A1BD1" w:rsidP="000A1BD1">
      <w:pPr>
        <w:jc w:val="both"/>
        <w:rPr>
          <w:rFonts w:cs="David"/>
          <w:rtl/>
          <w:lang w:eastAsia="he-IL"/>
        </w:rPr>
      </w:pPr>
    </w:p>
    <w:p w14:paraId="58DD0805" w14:textId="77777777" w:rsidR="000A1BD1" w:rsidRPr="000A1BD1" w:rsidRDefault="000A1BD1" w:rsidP="000A1BD1">
      <w:pPr>
        <w:jc w:val="both"/>
        <w:rPr>
          <w:rFonts w:cs="David"/>
          <w:sz w:val="10"/>
          <w:szCs w:val="10"/>
          <w:rtl/>
          <w:lang w:eastAsia="he-IL"/>
        </w:rPr>
      </w:pPr>
      <w:r w:rsidRPr="000A1BD1">
        <w:rPr>
          <w:rFonts w:cs="David" w:hint="cs"/>
          <w:sz w:val="10"/>
          <w:szCs w:val="10"/>
          <w:rtl/>
          <w:lang w:eastAsia="he-IL"/>
        </w:rPr>
        <w:t>_______________________________________________</w:t>
      </w:r>
    </w:p>
    <w:p w14:paraId="32898F72" w14:textId="77777777" w:rsidR="000A1BD1" w:rsidRPr="000A1BD1" w:rsidRDefault="000A1BD1" w:rsidP="000A1BD1">
      <w:pPr>
        <w:jc w:val="both"/>
        <w:rPr>
          <w:rFonts w:cs="David"/>
          <w:sz w:val="10"/>
          <w:szCs w:val="10"/>
          <w:rtl/>
          <w:lang w:eastAsia="he-IL"/>
        </w:rPr>
      </w:pPr>
    </w:p>
    <w:p w14:paraId="6250C3E8" w14:textId="77777777" w:rsidR="000A1BD1" w:rsidRPr="000A1BD1" w:rsidRDefault="000A1BD1" w:rsidP="000A1BD1">
      <w:pPr>
        <w:ind w:left="142" w:hanging="142"/>
        <w:rPr>
          <w:sz w:val="22"/>
          <w:szCs w:val="22"/>
          <w:lang w:eastAsia="he-IL"/>
        </w:rPr>
      </w:pPr>
      <w:r w:rsidRPr="000A1BD1">
        <w:rPr>
          <w:rFonts w:cs="David"/>
          <w:sz w:val="22"/>
          <w:szCs w:val="22"/>
          <w:vertAlign w:val="superscript"/>
          <w:rtl/>
          <w:lang w:eastAsia="he-IL"/>
        </w:rPr>
        <w:t>1</w:t>
      </w:r>
      <w:r w:rsidRPr="000A1BD1">
        <w:rPr>
          <w:rFonts w:cs="David"/>
          <w:sz w:val="22"/>
          <w:szCs w:val="22"/>
          <w:rtl/>
          <w:lang w:eastAsia="he-IL"/>
        </w:rPr>
        <w:t xml:space="preserve"> </w:t>
      </w:r>
      <w:r w:rsidRPr="000A1BD1">
        <w:rPr>
          <w:rFonts w:cs="David"/>
          <w:sz w:val="22"/>
          <w:szCs w:val="22"/>
          <w:rtl/>
          <w:lang w:eastAsia="he-IL"/>
        </w:rPr>
        <w:tab/>
        <w:t xml:space="preserve">ויקרא </w:t>
      </w:r>
      <w:proofErr w:type="spellStart"/>
      <w:r w:rsidRPr="000A1BD1">
        <w:rPr>
          <w:rFonts w:cs="David"/>
          <w:sz w:val="22"/>
          <w:szCs w:val="22"/>
          <w:rtl/>
          <w:lang w:eastAsia="he-IL"/>
        </w:rPr>
        <w:t>יט</w:t>
      </w:r>
      <w:proofErr w:type="spellEnd"/>
      <w:r w:rsidRPr="000A1BD1">
        <w:rPr>
          <w:rFonts w:cs="David"/>
          <w:sz w:val="22"/>
          <w:szCs w:val="22"/>
          <w:rtl/>
          <w:lang w:eastAsia="he-IL"/>
        </w:rPr>
        <w:t>, יד.</w:t>
      </w:r>
    </w:p>
    <w:p w14:paraId="4F787DA9" w14:textId="77777777" w:rsidR="000A1BD1" w:rsidRPr="000A1BD1" w:rsidRDefault="000A1BD1" w:rsidP="000A1BD1">
      <w:pPr>
        <w:ind w:left="142" w:hanging="142"/>
        <w:rPr>
          <w:sz w:val="22"/>
          <w:szCs w:val="22"/>
          <w:lang w:eastAsia="he-IL"/>
        </w:rPr>
      </w:pPr>
      <w:r w:rsidRPr="000A1BD1">
        <w:rPr>
          <w:rFonts w:cs="David"/>
          <w:sz w:val="22"/>
          <w:szCs w:val="22"/>
          <w:vertAlign w:val="superscript"/>
          <w:rtl/>
          <w:lang w:eastAsia="he-IL"/>
        </w:rPr>
        <w:t>2</w:t>
      </w:r>
      <w:r w:rsidRPr="000A1BD1">
        <w:rPr>
          <w:rFonts w:cs="David"/>
          <w:sz w:val="22"/>
          <w:szCs w:val="22"/>
          <w:rtl/>
          <w:lang w:eastAsia="he-IL"/>
        </w:rPr>
        <w:t xml:space="preserve"> </w:t>
      </w:r>
      <w:r w:rsidRPr="000A1BD1">
        <w:rPr>
          <w:rFonts w:cs="David"/>
          <w:sz w:val="22"/>
          <w:szCs w:val="22"/>
          <w:rtl/>
          <w:lang w:eastAsia="he-IL"/>
        </w:rPr>
        <w:tab/>
        <w:t xml:space="preserve">ז"ל רמב"ם ("ספר המצוות", </w:t>
      </w:r>
      <w:proofErr w:type="spellStart"/>
      <w:r w:rsidRPr="000A1BD1">
        <w:rPr>
          <w:rFonts w:cs="David"/>
          <w:sz w:val="22"/>
          <w:szCs w:val="22"/>
          <w:rtl/>
          <w:lang w:eastAsia="he-IL"/>
        </w:rPr>
        <w:t>לאוין</w:t>
      </w:r>
      <w:proofErr w:type="spellEnd"/>
      <w:r w:rsidRPr="000A1BD1">
        <w:rPr>
          <w:rFonts w:cs="David"/>
          <w:sz w:val="22"/>
          <w:szCs w:val="22"/>
          <w:rtl/>
          <w:lang w:eastAsia="he-IL"/>
        </w:rPr>
        <w:t xml:space="preserve"> </w:t>
      </w:r>
      <w:proofErr w:type="spellStart"/>
      <w:r w:rsidRPr="000A1BD1">
        <w:rPr>
          <w:rFonts w:cs="David"/>
          <w:sz w:val="22"/>
          <w:szCs w:val="22"/>
          <w:rtl/>
          <w:lang w:eastAsia="he-IL"/>
        </w:rPr>
        <w:t>רצט</w:t>
      </w:r>
      <w:proofErr w:type="spellEnd"/>
      <w:r w:rsidRPr="000A1BD1">
        <w:rPr>
          <w:rFonts w:cs="David"/>
          <w:sz w:val="22"/>
          <w:szCs w:val="22"/>
          <w:rtl/>
          <w:lang w:eastAsia="he-IL"/>
        </w:rPr>
        <w:t>) "ולאו זה כולל גם כן מי שיעזור על עבירה או יסובב אותה, כי יבוא האיש ההוא לעוון, ובעזרתו הכשילו וחזר עוד ויפתהו ויעזרהו להשלים עבירתו או יכין לו סיבת העבירה...".</w:t>
      </w:r>
    </w:p>
    <w:p w14:paraId="5C79A930"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3</w:t>
      </w:r>
      <w:r w:rsidRPr="000A1BD1">
        <w:rPr>
          <w:rFonts w:cs="David"/>
          <w:sz w:val="22"/>
          <w:szCs w:val="22"/>
          <w:rtl/>
          <w:lang w:eastAsia="he-IL"/>
        </w:rPr>
        <w:t xml:space="preserve"> </w:t>
      </w:r>
      <w:r w:rsidRPr="000A1BD1">
        <w:rPr>
          <w:rFonts w:cs="David"/>
          <w:sz w:val="22"/>
          <w:szCs w:val="22"/>
          <w:rtl/>
          <w:lang w:eastAsia="he-IL"/>
        </w:rPr>
        <w:tab/>
        <w:t>האיסורים הם:</w:t>
      </w:r>
    </w:p>
    <w:p w14:paraId="425C8CC0" w14:textId="77777777" w:rsidR="000A1BD1" w:rsidRPr="000A1BD1" w:rsidRDefault="000A1BD1" w:rsidP="000A1BD1">
      <w:pPr>
        <w:ind w:left="142"/>
        <w:rPr>
          <w:rFonts w:cs="David"/>
          <w:sz w:val="22"/>
          <w:szCs w:val="22"/>
          <w:rtl/>
          <w:lang w:eastAsia="he-IL"/>
        </w:rPr>
      </w:pPr>
      <w:r w:rsidRPr="000A1BD1">
        <w:rPr>
          <w:rFonts w:cs="David"/>
          <w:sz w:val="22"/>
          <w:szCs w:val="22"/>
          <w:rtl/>
          <w:lang w:eastAsia="he-IL"/>
        </w:rPr>
        <w:t>כותב -</w:t>
      </w:r>
      <w:r w:rsidRPr="000A1BD1">
        <w:rPr>
          <w:rFonts w:cs="David"/>
          <w:b/>
          <w:bCs/>
          <w:sz w:val="22"/>
          <w:szCs w:val="22"/>
          <w:rtl/>
          <w:lang w:eastAsia="he-IL"/>
        </w:rPr>
        <w:t xml:space="preserve"> </w:t>
      </w:r>
      <w:proofErr w:type="spellStart"/>
      <w:r w:rsidRPr="000A1BD1">
        <w:rPr>
          <w:rFonts w:cs="David"/>
          <w:sz w:val="22"/>
          <w:szCs w:val="22"/>
          <w:rtl/>
          <w:lang w:eastAsia="he-IL"/>
        </w:rPr>
        <w:t>בשו"ת</w:t>
      </w:r>
      <w:proofErr w:type="spellEnd"/>
      <w:r w:rsidRPr="000A1BD1">
        <w:rPr>
          <w:rFonts w:cs="David"/>
          <w:sz w:val="22"/>
          <w:szCs w:val="22"/>
          <w:rtl/>
          <w:lang w:eastAsia="he-IL"/>
        </w:rPr>
        <w:t xml:space="preserve"> "שבט הלוי" (ח"ו סי' </w:t>
      </w:r>
      <w:proofErr w:type="spellStart"/>
      <w:r w:rsidRPr="000A1BD1">
        <w:rPr>
          <w:rFonts w:cs="David"/>
          <w:sz w:val="22"/>
          <w:szCs w:val="22"/>
          <w:rtl/>
          <w:lang w:eastAsia="he-IL"/>
        </w:rPr>
        <w:t>לז</w:t>
      </w:r>
      <w:proofErr w:type="spellEnd"/>
      <w:r w:rsidRPr="000A1BD1">
        <w:rPr>
          <w:rFonts w:cs="David"/>
          <w:sz w:val="22"/>
          <w:szCs w:val="22"/>
          <w:rtl/>
          <w:lang w:eastAsia="he-IL"/>
        </w:rPr>
        <w:t xml:space="preserve">) פסק שכתיבה על מסך מחשב אסורה משום מלאכת כותב דאורייתא. לעומתו הרב פרופ' זאב לב סבור שכתיבה על גבי צג המחשב (ללא הדפסה) היא בבחינת כתב שאינו מתקיים, שאינו אסור אלא מדרבנן, ואילו הרב ישראל רוזן מחלק בין מחשב שיש בו תוכנה למחיקה עצמית, שהכתיבה על גביו  יכולה </w:t>
      </w:r>
      <w:proofErr w:type="spellStart"/>
      <w:r w:rsidRPr="000A1BD1">
        <w:rPr>
          <w:rFonts w:cs="David"/>
          <w:sz w:val="22"/>
          <w:szCs w:val="22"/>
          <w:rtl/>
          <w:lang w:eastAsia="he-IL"/>
        </w:rPr>
        <w:t>להחשב</w:t>
      </w:r>
      <w:proofErr w:type="spellEnd"/>
      <w:r w:rsidRPr="000A1BD1">
        <w:rPr>
          <w:rFonts w:cs="David"/>
          <w:sz w:val="22"/>
          <w:szCs w:val="22"/>
          <w:rtl/>
          <w:lang w:eastAsia="he-IL"/>
        </w:rPr>
        <w:t xml:space="preserve"> לכתב שאינו מתקיים, ובין זה שאין בו תוכנה כזו, שאז הכתב נחשב לכתב המתקיים. </w:t>
      </w:r>
    </w:p>
    <w:p w14:paraId="73907451" w14:textId="77777777" w:rsidR="000A1BD1" w:rsidRPr="000A1BD1" w:rsidRDefault="000A1BD1" w:rsidP="000A1BD1">
      <w:pPr>
        <w:ind w:left="142"/>
        <w:rPr>
          <w:rFonts w:cs="David"/>
          <w:sz w:val="22"/>
          <w:szCs w:val="22"/>
          <w:rtl/>
          <w:lang w:eastAsia="he-IL"/>
        </w:rPr>
      </w:pPr>
      <w:r w:rsidRPr="000A1BD1">
        <w:rPr>
          <w:rFonts w:cs="David"/>
          <w:sz w:val="22"/>
          <w:szCs w:val="22"/>
          <w:rtl/>
          <w:lang w:eastAsia="he-IL"/>
        </w:rPr>
        <w:t xml:space="preserve">בונה  - </w:t>
      </w:r>
      <w:proofErr w:type="spellStart"/>
      <w:r w:rsidRPr="000A1BD1">
        <w:rPr>
          <w:rFonts w:cs="David"/>
          <w:sz w:val="22"/>
          <w:szCs w:val="22"/>
          <w:rtl/>
          <w:lang w:eastAsia="he-IL"/>
        </w:rPr>
        <w:t>הגרש"ז</w:t>
      </w:r>
      <w:proofErr w:type="spellEnd"/>
      <w:r w:rsidRPr="000A1BD1">
        <w:rPr>
          <w:rFonts w:cs="David"/>
          <w:sz w:val="22"/>
          <w:szCs w:val="22"/>
          <w:rtl/>
          <w:lang w:eastAsia="he-IL"/>
        </w:rPr>
        <w:t xml:space="preserve"> </w:t>
      </w:r>
      <w:proofErr w:type="spellStart"/>
      <w:r w:rsidRPr="000A1BD1">
        <w:rPr>
          <w:rFonts w:cs="David"/>
          <w:sz w:val="22"/>
          <w:szCs w:val="22"/>
          <w:rtl/>
          <w:lang w:eastAsia="he-IL"/>
        </w:rPr>
        <w:t>אוירעבך</w:t>
      </w:r>
      <w:proofErr w:type="spellEnd"/>
      <w:r w:rsidRPr="000A1BD1">
        <w:rPr>
          <w:rFonts w:cs="David"/>
          <w:sz w:val="22"/>
          <w:szCs w:val="22"/>
          <w:rtl/>
          <w:lang w:eastAsia="he-IL"/>
        </w:rPr>
        <w:t xml:space="preserve"> פסק שהזנת מחשב בנתונים הנשמרים על גבי  דיסקט היא בכלל מלאכת בונה, "שמירת שבת כהלכתה" (</w:t>
      </w:r>
      <w:proofErr w:type="spellStart"/>
      <w:r w:rsidRPr="000A1BD1">
        <w:rPr>
          <w:rFonts w:cs="David"/>
          <w:sz w:val="22"/>
          <w:szCs w:val="22"/>
          <w:rtl/>
          <w:lang w:eastAsia="he-IL"/>
        </w:rPr>
        <w:t>ח"ב</w:t>
      </w:r>
      <w:proofErr w:type="spellEnd"/>
      <w:r w:rsidRPr="000A1BD1">
        <w:rPr>
          <w:rFonts w:cs="David"/>
          <w:sz w:val="22"/>
          <w:szCs w:val="22"/>
          <w:rtl/>
          <w:lang w:eastAsia="he-IL"/>
        </w:rPr>
        <w:t xml:space="preserve"> פרק </w:t>
      </w:r>
      <w:proofErr w:type="spellStart"/>
      <w:r w:rsidRPr="000A1BD1">
        <w:rPr>
          <w:rFonts w:cs="David"/>
          <w:sz w:val="22"/>
          <w:szCs w:val="22"/>
          <w:rtl/>
          <w:lang w:eastAsia="he-IL"/>
        </w:rPr>
        <w:t>סו</w:t>
      </w:r>
      <w:proofErr w:type="spellEnd"/>
      <w:r w:rsidRPr="000A1BD1">
        <w:rPr>
          <w:rFonts w:cs="David"/>
          <w:sz w:val="22"/>
          <w:szCs w:val="22"/>
          <w:rtl/>
          <w:lang w:eastAsia="he-IL"/>
        </w:rPr>
        <w:t xml:space="preserve"> סע' </w:t>
      </w:r>
      <w:proofErr w:type="spellStart"/>
      <w:r w:rsidRPr="000A1BD1">
        <w:rPr>
          <w:rFonts w:cs="David"/>
          <w:sz w:val="22"/>
          <w:szCs w:val="22"/>
          <w:rtl/>
          <w:lang w:eastAsia="he-IL"/>
        </w:rPr>
        <w:t>נה</w:t>
      </w:r>
      <w:proofErr w:type="spellEnd"/>
      <w:r w:rsidRPr="000A1BD1">
        <w:rPr>
          <w:rFonts w:cs="David"/>
          <w:sz w:val="22"/>
          <w:szCs w:val="22"/>
          <w:rtl/>
          <w:lang w:eastAsia="he-IL"/>
        </w:rPr>
        <w:t xml:space="preserve">). בנוסף לכך ישנה בעצם הפעלת המחשב ופעולת ההקלדה סגירה של מעגלים חשמליים שלדעת "חזון </w:t>
      </w:r>
      <w:proofErr w:type="spellStart"/>
      <w:r w:rsidRPr="000A1BD1">
        <w:rPr>
          <w:rFonts w:cs="David"/>
          <w:sz w:val="22"/>
          <w:szCs w:val="22"/>
          <w:rtl/>
          <w:lang w:eastAsia="he-IL"/>
        </w:rPr>
        <w:t>אי"ש</w:t>
      </w:r>
      <w:proofErr w:type="spellEnd"/>
      <w:r w:rsidRPr="000A1BD1">
        <w:rPr>
          <w:rFonts w:cs="David"/>
          <w:sz w:val="22"/>
          <w:szCs w:val="22"/>
          <w:rtl/>
          <w:lang w:eastAsia="he-IL"/>
        </w:rPr>
        <w:t xml:space="preserve">" כלולה באיסור בונה. </w:t>
      </w:r>
    </w:p>
    <w:p w14:paraId="07CB4E13" w14:textId="77777777" w:rsidR="000A1BD1" w:rsidRPr="000A1BD1" w:rsidRDefault="000A1BD1" w:rsidP="000A1BD1">
      <w:pPr>
        <w:ind w:left="142"/>
        <w:rPr>
          <w:rFonts w:cs="David"/>
          <w:sz w:val="22"/>
          <w:szCs w:val="22"/>
          <w:rtl/>
          <w:lang w:eastAsia="he-IL"/>
        </w:rPr>
      </w:pPr>
      <w:r w:rsidRPr="000A1BD1">
        <w:rPr>
          <w:rFonts w:cs="David"/>
          <w:sz w:val="22"/>
          <w:szCs w:val="22"/>
          <w:rtl/>
          <w:lang w:eastAsia="he-IL"/>
        </w:rPr>
        <w:t xml:space="preserve">מוליד - סגירת מעגלים חשמליים לדעת "בית יצחק" (יורה דעה </w:t>
      </w:r>
      <w:proofErr w:type="spellStart"/>
      <w:r w:rsidRPr="000A1BD1">
        <w:rPr>
          <w:rFonts w:cs="David"/>
          <w:sz w:val="22"/>
          <w:szCs w:val="22"/>
          <w:rtl/>
          <w:lang w:eastAsia="he-IL"/>
        </w:rPr>
        <w:t>ח"ב</w:t>
      </w:r>
      <w:proofErr w:type="spellEnd"/>
      <w:r w:rsidRPr="000A1BD1">
        <w:rPr>
          <w:rFonts w:cs="David"/>
          <w:sz w:val="22"/>
          <w:szCs w:val="22"/>
          <w:rtl/>
          <w:lang w:eastAsia="he-IL"/>
        </w:rPr>
        <w:t xml:space="preserve"> במפתחות לסי' לא) ועוד אחרונים מהווה איסור דרבנן. </w:t>
      </w:r>
    </w:p>
    <w:p w14:paraId="1D7EF21E" w14:textId="77777777" w:rsidR="000A1BD1" w:rsidRPr="000A1BD1" w:rsidRDefault="000A1BD1" w:rsidP="000A1BD1">
      <w:pPr>
        <w:ind w:left="142"/>
        <w:rPr>
          <w:rFonts w:cs="David"/>
          <w:sz w:val="22"/>
          <w:szCs w:val="22"/>
          <w:rtl/>
          <w:lang w:eastAsia="he-IL"/>
        </w:rPr>
      </w:pPr>
      <w:r w:rsidRPr="000A1BD1">
        <w:rPr>
          <w:rFonts w:cs="David"/>
          <w:sz w:val="22"/>
          <w:szCs w:val="22"/>
          <w:rtl/>
          <w:lang w:eastAsia="he-IL"/>
        </w:rPr>
        <w:t xml:space="preserve">הבערה - בתקשורת מחשבים מורכבת [שימוש במודם והתקשרויות מחשבים ושרתים] גם תתכן הלהטת חוטי-להט ממש [בהדלקת נורות שונות] שזה לדעת הרבה מן הפוסקים מלאכת מבעיר </w:t>
      </w:r>
      <w:proofErr w:type="spellStart"/>
      <w:r w:rsidRPr="000A1BD1">
        <w:rPr>
          <w:rFonts w:cs="David"/>
          <w:sz w:val="22"/>
          <w:szCs w:val="22"/>
          <w:rtl/>
          <w:lang w:eastAsia="he-IL"/>
        </w:rPr>
        <w:t>מדאוריתא</w:t>
      </w:r>
      <w:proofErr w:type="spellEnd"/>
      <w:r w:rsidRPr="000A1BD1">
        <w:rPr>
          <w:rFonts w:cs="David"/>
          <w:sz w:val="22"/>
          <w:szCs w:val="22"/>
          <w:rtl/>
          <w:lang w:eastAsia="he-IL"/>
        </w:rPr>
        <w:t xml:space="preserve"> (עם המעבר לטרנזיסטורים אין כמעט בנמצא מחשב עם נוריות להט). </w:t>
      </w:r>
    </w:p>
    <w:p w14:paraId="2A1B19C1" w14:textId="77777777" w:rsidR="000A1BD1" w:rsidRPr="000A1BD1" w:rsidRDefault="000A1BD1" w:rsidP="000A1BD1">
      <w:pPr>
        <w:ind w:left="142"/>
        <w:rPr>
          <w:sz w:val="22"/>
          <w:szCs w:val="22"/>
          <w:lang w:eastAsia="he-IL"/>
        </w:rPr>
      </w:pPr>
      <w:r w:rsidRPr="000A1BD1">
        <w:rPr>
          <w:rFonts w:cs="David"/>
          <w:sz w:val="22"/>
          <w:szCs w:val="22"/>
          <w:rtl/>
          <w:lang w:eastAsia="he-IL"/>
        </w:rPr>
        <w:t>"ממצא חפצך" ומקח וממכר כאשר מדובר על אתר מסחרי, ודאי שהצרכן יעבור גם על דברי קבלה של "ממצא חפצך ודבר דבר", שבגינם אסור  אפילו להרהר בענייני נכסיו בשבת, כמבואר בגמ' שבת (</w:t>
      </w:r>
      <w:proofErr w:type="spellStart"/>
      <w:r w:rsidRPr="000A1BD1">
        <w:rPr>
          <w:rFonts w:cs="David"/>
          <w:sz w:val="22"/>
          <w:szCs w:val="22"/>
          <w:rtl/>
          <w:lang w:eastAsia="he-IL"/>
        </w:rPr>
        <w:t>קנ</w:t>
      </w:r>
      <w:proofErr w:type="spellEnd"/>
      <w:r w:rsidRPr="000A1BD1">
        <w:rPr>
          <w:rFonts w:cs="David"/>
          <w:sz w:val="22"/>
          <w:szCs w:val="22"/>
          <w:rtl/>
          <w:lang w:eastAsia="he-IL"/>
        </w:rPr>
        <w:t xml:space="preserve"> ע"א) ובשולחן ערוך ("אורח חיים" סי'  </w:t>
      </w:r>
      <w:proofErr w:type="spellStart"/>
      <w:r w:rsidRPr="000A1BD1">
        <w:rPr>
          <w:rFonts w:cs="David"/>
          <w:sz w:val="22"/>
          <w:szCs w:val="22"/>
          <w:rtl/>
          <w:lang w:eastAsia="he-IL"/>
        </w:rPr>
        <w:t>שו</w:t>
      </w:r>
      <w:proofErr w:type="spellEnd"/>
      <w:r w:rsidRPr="000A1BD1">
        <w:rPr>
          <w:rFonts w:cs="David"/>
          <w:sz w:val="22"/>
          <w:szCs w:val="22"/>
          <w:rtl/>
          <w:lang w:eastAsia="he-IL"/>
        </w:rPr>
        <w:t xml:space="preserve"> סעיף א).  ולגבי גזירת מקח וממכר בשבת עיין לקמן סעיף ב.</w:t>
      </w:r>
    </w:p>
    <w:p w14:paraId="6CB7C512" w14:textId="77777777" w:rsidR="000A1BD1" w:rsidRPr="000A1BD1" w:rsidRDefault="000A1BD1" w:rsidP="000A1BD1">
      <w:pPr>
        <w:ind w:left="142" w:hanging="142"/>
        <w:rPr>
          <w:sz w:val="22"/>
          <w:szCs w:val="22"/>
          <w:lang w:eastAsia="he-IL"/>
        </w:rPr>
      </w:pPr>
      <w:r w:rsidRPr="000A1BD1">
        <w:rPr>
          <w:rFonts w:cs="David"/>
          <w:sz w:val="22"/>
          <w:szCs w:val="22"/>
          <w:vertAlign w:val="superscript"/>
          <w:rtl/>
          <w:lang w:eastAsia="he-IL"/>
        </w:rPr>
        <w:t>4</w:t>
      </w:r>
      <w:r w:rsidRPr="000A1BD1">
        <w:rPr>
          <w:rFonts w:cs="David"/>
          <w:sz w:val="22"/>
          <w:szCs w:val="22"/>
          <w:rtl/>
          <w:lang w:eastAsia="he-IL"/>
        </w:rPr>
        <w:t xml:space="preserve"> </w:t>
      </w:r>
      <w:r w:rsidRPr="000A1BD1">
        <w:rPr>
          <w:rFonts w:cs="David"/>
          <w:sz w:val="22"/>
          <w:szCs w:val="22"/>
          <w:rtl/>
          <w:lang w:eastAsia="he-IL"/>
        </w:rPr>
        <w:tab/>
        <w:t xml:space="preserve">הכרעת הפוסקים היא שיש איסור "לפני עיור" גם באיסורי דרבנן, ונחלקו, אם האיסור לסייע באיסור דרבנן הוא מן התורה או מדרבנן, עיין סיכום השיטות בספר "לפני עיור" לרב יצחק א' הכהן אדלר (עמ' נב- נו). </w:t>
      </w:r>
      <w:proofErr w:type="spellStart"/>
      <w:r w:rsidRPr="000A1BD1">
        <w:rPr>
          <w:rFonts w:cs="David"/>
          <w:sz w:val="22"/>
          <w:szCs w:val="22"/>
          <w:rtl/>
          <w:lang w:eastAsia="he-IL"/>
        </w:rPr>
        <w:t>הנפקא</w:t>
      </w:r>
      <w:proofErr w:type="spellEnd"/>
      <w:r w:rsidRPr="000A1BD1">
        <w:rPr>
          <w:rFonts w:cs="David"/>
          <w:sz w:val="22"/>
          <w:szCs w:val="22"/>
          <w:rtl/>
          <w:lang w:eastAsia="he-IL"/>
        </w:rPr>
        <w:t xml:space="preserve"> </w:t>
      </w:r>
      <w:proofErr w:type="spellStart"/>
      <w:r w:rsidRPr="000A1BD1">
        <w:rPr>
          <w:rFonts w:cs="David"/>
          <w:sz w:val="22"/>
          <w:szCs w:val="22"/>
          <w:rtl/>
          <w:lang w:eastAsia="he-IL"/>
        </w:rPr>
        <w:t>מינא</w:t>
      </w:r>
      <w:proofErr w:type="spellEnd"/>
      <w:r w:rsidRPr="000A1BD1">
        <w:rPr>
          <w:rFonts w:cs="David"/>
          <w:sz w:val="22"/>
          <w:szCs w:val="22"/>
          <w:rtl/>
          <w:lang w:eastAsia="he-IL"/>
        </w:rPr>
        <w:t xml:space="preserve"> בין שני הצדדים קשורה לשאלה אם אופני ההיתר באיסור מסייע-מדרבנן, כשמדובר באיסורי דרבנן שהובאו לקמן, יעזרו להקל אפילו במקרה של "תרי עברי </w:t>
      </w:r>
      <w:proofErr w:type="spellStart"/>
      <w:r w:rsidRPr="000A1BD1">
        <w:rPr>
          <w:rFonts w:cs="David"/>
          <w:sz w:val="22"/>
          <w:szCs w:val="22"/>
          <w:rtl/>
          <w:lang w:eastAsia="he-IL"/>
        </w:rPr>
        <w:t>דנהרא</w:t>
      </w:r>
      <w:proofErr w:type="spellEnd"/>
      <w:r w:rsidRPr="000A1BD1">
        <w:rPr>
          <w:rFonts w:cs="David"/>
          <w:sz w:val="22"/>
          <w:szCs w:val="22"/>
          <w:rtl/>
          <w:lang w:eastAsia="he-IL"/>
        </w:rPr>
        <w:t>" - כיון שכל האיסור מדרבנן-אמנם גם אם נסבור שהאיסור אינו אלא מדרבנן אין הכרח שהדינים הקיימים ב"מסייע" יחולו גם ב"לפני עיור" באיסור דרבנן.</w:t>
      </w:r>
    </w:p>
    <w:p w14:paraId="61103A13"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5</w:t>
      </w:r>
      <w:r w:rsidRPr="000A1BD1">
        <w:rPr>
          <w:rFonts w:cs="David"/>
          <w:sz w:val="22"/>
          <w:szCs w:val="22"/>
          <w:rtl/>
          <w:lang w:eastAsia="he-IL"/>
        </w:rPr>
        <w:t xml:space="preserve">  עבודה זרה (ו ע"ב) "הכא במאי עסקינן, </w:t>
      </w:r>
      <w:proofErr w:type="spellStart"/>
      <w:r w:rsidRPr="000A1BD1">
        <w:rPr>
          <w:rFonts w:cs="David"/>
          <w:sz w:val="22"/>
          <w:szCs w:val="22"/>
          <w:rtl/>
          <w:lang w:eastAsia="he-IL"/>
        </w:rPr>
        <w:t>דקאי</w:t>
      </w:r>
      <w:proofErr w:type="spellEnd"/>
      <w:r w:rsidRPr="000A1BD1">
        <w:rPr>
          <w:rFonts w:cs="David"/>
          <w:sz w:val="22"/>
          <w:szCs w:val="22"/>
          <w:rtl/>
          <w:lang w:eastAsia="he-IL"/>
        </w:rPr>
        <w:t xml:space="preserve"> בתרי עברי </w:t>
      </w:r>
      <w:proofErr w:type="spellStart"/>
      <w:r w:rsidRPr="000A1BD1">
        <w:rPr>
          <w:rFonts w:cs="David"/>
          <w:sz w:val="22"/>
          <w:szCs w:val="22"/>
          <w:rtl/>
          <w:lang w:eastAsia="he-IL"/>
        </w:rPr>
        <w:t>דנהרא</w:t>
      </w:r>
      <w:proofErr w:type="spellEnd"/>
      <w:r w:rsidRPr="000A1BD1">
        <w:rPr>
          <w:rFonts w:cs="David"/>
          <w:sz w:val="22"/>
          <w:szCs w:val="22"/>
          <w:rtl/>
          <w:lang w:eastAsia="he-IL"/>
        </w:rPr>
        <w:t xml:space="preserve">". על פי פירוש רוב המפרשים והפוסקים.  אולם </w:t>
      </w:r>
      <w:proofErr w:type="spellStart"/>
      <w:r w:rsidRPr="000A1BD1">
        <w:rPr>
          <w:rFonts w:cs="David"/>
          <w:sz w:val="22"/>
          <w:szCs w:val="22"/>
          <w:rtl/>
          <w:lang w:eastAsia="he-IL"/>
        </w:rPr>
        <w:t>רד"צ</w:t>
      </w:r>
      <w:proofErr w:type="spellEnd"/>
      <w:r w:rsidRPr="000A1BD1">
        <w:rPr>
          <w:rFonts w:cs="David"/>
          <w:sz w:val="22"/>
          <w:szCs w:val="22"/>
          <w:rtl/>
          <w:lang w:eastAsia="he-IL"/>
        </w:rPr>
        <w:t xml:space="preserve"> הופמן </w:t>
      </w:r>
      <w:proofErr w:type="spellStart"/>
      <w:r w:rsidRPr="000A1BD1">
        <w:rPr>
          <w:rFonts w:cs="David"/>
          <w:sz w:val="22"/>
          <w:szCs w:val="22"/>
          <w:rtl/>
          <w:lang w:eastAsia="he-IL"/>
        </w:rPr>
        <w:t>בשו"ת</w:t>
      </w:r>
      <w:proofErr w:type="spellEnd"/>
      <w:r w:rsidRPr="000A1BD1">
        <w:rPr>
          <w:rFonts w:cs="David"/>
          <w:sz w:val="22"/>
          <w:szCs w:val="22"/>
          <w:rtl/>
          <w:lang w:eastAsia="he-IL"/>
        </w:rPr>
        <w:t xml:space="preserve"> "מלמד להועיל" (ח"א סי' לד) והרב נחום אליעזר </w:t>
      </w:r>
      <w:proofErr w:type="spellStart"/>
      <w:r w:rsidRPr="000A1BD1">
        <w:rPr>
          <w:rFonts w:cs="David"/>
          <w:sz w:val="22"/>
          <w:szCs w:val="22"/>
          <w:rtl/>
          <w:lang w:eastAsia="he-IL"/>
        </w:rPr>
        <w:t>רבינוביץ</w:t>
      </w:r>
      <w:proofErr w:type="spellEnd"/>
      <w:r w:rsidRPr="000A1BD1">
        <w:rPr>
          <w:rFonts w:cs="David"/>
          <w:sz w:val="22"/>
          <w:szCs w:val="22"/>
          <w:rtl/>
          <w:lang w:eastAsia="he-IL"/>
        </w:rPr>
        <w:t xml:space="preserve"> (</w:t>
      </w:r>
      <w:proofErr w:type="spellStart"/>
      <w:r w:rsidRPr="000A1BD1">
        <w:rPr>
          <w:rFonts w:cs="David"/>
          <w:sz w:val="22"/>
          <w:szCs w:val="22"/>
          <w:rtl/>
          <w:lang w:eastAsia="he-IL"/>
        </w:rPr>
        <w:t>תחומין</w:t>
      </w:r>
      <w:proofErr w:type="spellEnd"/>
      <w:r w:rsidRPr="000A1BD1">
        <w:rPr>
          <w:rFonts w:cs="David"/>
          <w:sz w:val="22"/>
          <w:szCs w:val="22"/>
          <w:rtl/>
          <w:lang w:eastAsia="he-IL"/>
        </w:rPr>
        <w:t xml:space="preserve"> יא, עמ' 97-45) הוכיחו שלדעת רמב"ם אין חילוק בין תרי עברי </w:t>
      </w:r>
      <w:proofErr w:type="spellStart"/>
      <w:r w:rsidRPr="000A1BD1">
        <w:rPr>
          <w:rFonts w:cs="David"/>
          <w:sz w:val="22"/>
          <w:szCs w:val="22"/>
          <w:rtl/>
          <w:lang w:eastAsia="he-IL"/>
        </w:rPr>
        <w:t>דנהרא</w:t>
      </w:r>
      <w:proofErr w:type="spellEnd"/>
      <w:r w:rsidRPr="000A1BD1">
        <w:rPr>
          <w:rFonts w:cs="David"/>
          <w:sz w:val="22"/>
          <w:szCs w:val="22"/>
          <w:rtl/>
          <w:lang w:eastAsia="he-IL"/>
        </w:rPr>
        <w:t xml:space="preserve"> לחד </w:t>
      </w:r>
      <w:proofErr w:type="spellStart"/>
      <w:r w:rsidRPr="000A1BD1">
        <w:rPr>
          <w:rFonts w:cs="David"/>
          <w:sz w:val="22"/>
          <w:szCs w:val="22"/>
          <w:rtl/>
          <w:lang w:eastAsia="he-IL"/>
        </w:rPr>
        <w:t>עברא</w:t>
      </w:r>
      <w:proofErr w:type="spellEnd"/>
      <w:r w:rsidRPr="000A1BD1">
        <w:rPr>
          <w:rFonts w:cs="David"/>
          <w:sz w:val="22"/>
          <w:szCs w:val="22"/>
          <w:rtl/>
          <w:lang w:eastAsia="he-IL"/>
        </w:rPr>
        <w:t xml:space="preserve"> </w:t>
      </w:r>
      <w:proofErr w:type="spellStart"/>
      <w:r w:rsidRPr="000A1BD1">
        <w:rPr>
          <w:rFonts w:cs="David"/>
          <w:sz w:val="22"/>
          <w:szCs w:val="22"/>
          <w:rtl/>
          <w:lang w:eastAsia="he-IL"/>
        </w:rPr>
        <w:t>דנהרא</w:t>
      </w:r>
      <w:proofErr w:type="spellEnd"/>
      <w:r w:rsidRPr="000A1BD1">
        <w:rPr>
          <w:rFonts w:cs="David"/>
          <w:sz w:val="22"/>
          <w:szCs w:val="22"/>
          <w:rtl/>
          <w:lang w:eastAsia="he-IL"/>
        </w:rPr>
        <w:t xml:space="preserve">, ובשניהם הסיוע אסור </w:t>
      </w:r>
      <w:proofErr w:type="spellStart"/>
      <w:r w:rsidRPr="000A1BD1">
        <w:rPr>
          <w:rFonts w:cs="David"/>
          <w:sz w:val="22"/>
          <w:szCs w:val="22"/>
          <w:rtl/>
          <w:lang w:eastAsia="he-IL"/>
        </w:rPr>
        <w:t>מדאוריתא</w:t>
      </w:r>
      <w:proofErr w:type="spellEnd"/>
      <w:r w:rsidRPr="000A1BD1">
        <w:rPr>
          <w:rFonts w:cs="David"/>
          <w:sz w:val="22"/>
          <w:szCs w:val="22"/>
          <w:rtl/>
          <w:lang w:eastAsia="he-IL"/>
        </w:rPr>
        <w:t>.</w:t>
      </w:r>
    </w:p>
    <w:p w14:paraId="4690D287"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6</w:t>
      </w:r>
      <w:r w:rsidRPr="000A1BD1">
        <w:rPr>
          <w:rFonts w:cs="David"/>
          <w:sz w:val="22"/>
          <w:szCs w:val="22"/>
          <w:rtl/>
          <w:lang w:eastAsia="he-IL"/>
        </w:rPr>
        <w:t xml:space="preserve">  יש מקום לטעון שגם אם האתר יהיה סגור בשבת, גולש שאינו מודע לסגירתו ינסה להיכנס בו ויחלל שבת </w:t>
      </w:r>
      <w:proofErr w:type="spellStart"/>
      <w:r w:rsidRPr="000A1BD1">
        <w:rPr>
          <w:rFonts w:cs="David"/>
          <w:sz w:val="22"/>
          <w:szCs w:val="22"/>
          <w:rtl/>
          <w:lang w:eastAsia="he-IL"/>
        </w:rPr>
        <w:t>בנסיונו</w:t>
      </w:r>
      <w:proofErr w:type="spellEnd"/>
      <w:r w:rsidRPr="000A1BD1">
        <w:rPr>
          <w:rFonts w:cs="David"/>
          <w:sz w:val="22"/>
          <w:szCs w:val="22"/>
          <w:rtl/>
          <w:lang w:eastAsia="he-IL"/>
        </w:rPr>
        <w:t xml:space="preserve"> זה, ואם כן סגירת האתר תמנע לכל היותר "תוספת איסור". שאלת "לפני עיור" בתוספת איסור שנויה במחלוקת ראשונים.  </w:t>
      </w:r>
      <w:proofErr w:type="spellStart"/>
      <w:r w:rsidRPr="000A1BD1">
        <w:rPr>
          <w:rFonts w:cs="David"/>
          <w:sz w:val="22"/>
          <w:szCs w:val="22"/>
          <w:rtl/>
          <w:lang w:eastAsia="he-IL"/>
        </w:rPr>
        <w:t>ריטב"א</w:t>
      </w:r>
      <w:proofErr w:type="spellEnd"/>
      <w:r w:rsidRPr="000A1BD1">
        <w:rPr>
          <w:rFonts w:cs="David"/>
          <w:sz w:val="22"/>
          <w:szCs w:val="22"/>
          <w:rtl/>
          <w:lang w:eastAsia="he-IL"/>
        </w:rPr>
        <w:t xml:space="preserve"> ומאירי (עבודה זרה ו ע"ב) כתבו </w:t>
      </w:r>
      <w:r w:rsidRPr="000A1BD1">
        <w:rPr>
          <w:rFonts w:cs="David"/>
          <w:sz w:val="22"/>
          <w:szCs w:val="22"/>
          <w:rtl/>
          <w:lang w:eastAsia="he-IL"/>
        </w:rPr>
        <w:lastRenderedPageBreak/>
        <w:t xml:space="preserve">שאין עוברים על "לפני עיור" בתוספת איסור, אך </w:t>
      </w:r>
      <w:proofErr w:type="spellStart"/>
      <w:r w:rsidRPr="000A1BD1">
        <w:rPr>
          <w:rFonts w:cs="David"/>
          <w:sz w:val="22"/>
          <w:szCs w:val="22"/>
          <w:rtl/>
          <w:lang w:eastAsia="he-IL"/>
        </w:rPr>
        <w:t>מתוס</w:t>
      </w:r>
      <w:proofErr w:type="spellEnd"/>
      <w:r w:rsidRPr="000A1BD1">
        <w:rPr>
          <w:rFonts w:cs="David"/>
          <w:sz w:val="22"/>
          <w:szCs w:val="22"/>
          <w:rtl/>
          <w:lang w:eastAsia="he-IL"/>
        </w:rPr>
        <w:t xml:space="preserve">' (שם ד"ה מנין) משמע שאמנם עוברים. ועיין על כך בהרחבה בס' "לפני עיור" (הנ"ל, הערה 4 כללים, סי' ה' עמ' לט- </w:t>
      </w:r>
      <w:proofErr w:type="spellStart"/>
      <w:r w:rsidRPr="000A1BD1">
        <w:rPr>
          <w:rFonts w:cs="David"/>
          <w:sz w:val="22"/>
          <w:szCs w:val="22"/>
          <w:rtl/>
          <w:lang w:eastAsia="he-IL"/>
        </w:rPr>
        <w:t>מא</w:t>
      </w:r>
      <w:proofErr w:type="spellEnd"/>
      <w:r w:rsidRPr="000A1BD1">
        <w:rPr>
          <w:rFonts w:cs="David"/>
          <w:sz w:val="22"/>
          <w:szCs w:val="22"/>
          <w:rtl/>
          <w:lang w:eastAsia="he-IL"/>
        </w:rPr>
        <w:t xml:space="preserve">). ועיין עוד ב"גיליון </w:t>
      </w:r>
      <w:proofErr w:type="spellStart"/>
      <w:r w:rsidRPr="000A1BD1">
        <w:rPr>
          <w:rFonts w:cs="David"/>
          <w:sz w:val="22"/>
          <w:szCs w:val="22"/>
          <w:rtl/>
          <w:lang w:eastAsia="he-IL"/>
        </w:rPr>
        <w:t>מהרש"א</w:t>
      </w:r>
      <w:proofErr w:type="spellEnd"/>
      <w:r w:rsidRPr="000A1BD1">
        <w:rPr>
          <w:rFonts w:cs="David"/>
          <w:sz w:val="22"/>
          <w:szCs w:val="22"/>
          <w:rtl/>
          <w:lang w:eastAsia="he-IL"/>
        </w:rPr>
        <w:t xml:space="preserve">" (יו"ד סי' קנא) שמבין את </w:t>
      </w:r>
      <w:proofErr w:type="spellStart"/>
      <w:r w:rsidRPr="000A1BD1">
        <w:rPr>
          <w:rFonts w:cs="David"/>
          <w:sz w:val="22"/>
          <w:szCs w:val="22"/>
          <w:rtl/>
          <w:lang w:eastAsia="he-IL"/>
        </w:rPr>
        <w:t>הסוגיא</w:t>
      </w:r>
      <w:proofErr w:type="spellEnd"/>
      <w:r w:rsidRPr="000A1BD1">
        <w:rPr>
          <w:rFonts w:cs="David"/>
          <w:sz w:val="22"/>
          <w:szCs w:val="22"/>
          <w:rtl/>
          <w:lang w:eastAsia="he-IL"/>
        </w:rPr>
        <w:t xml:space="preserve"> </w:t>
      </w:r>
      <w:proofErr w:type="spellStart"/>
      <w:r w:rsidRPr="000A1BD1">
        <w:rPr>
          <w:rFonts w:cs="David"/>
          <w:sz w:val="22"/>
          <w:szCs w:val="22"/>
          <w:rtl/>
          <w:lang w:eastAsia="he-IL"/>
        </w:rPr>
        <w:t>בבבא</w:t>
      </w:r>
      <w:proofErr w:type="spellEnd"/>
      <w:r w:rsidRPr="000A1BD1">
        <w:rPr>
          <w:rFonts w:cs="David"/>
          <w:sz w:val="22"/>
          <w:szCs w:val="22"/>
          <w:rtl/>
          <w:lang w:eastAsia="he-IL"/>
        </w:rPr>
        <w:t xml:space="preserve"> קמא </w:t>
      </w:r>
      <w:proofErr w:type="spellStart"/>
      <w:r w:rsidRPr="000A1BD1">
        <w:rPr>
          <w:rFonts w:cs="David"/>
          <w:sz w:val="22"/>
          <w:szCs w:val="22"/>
          <w:rtl/>
          <w:lang w:eastAsia="he-IL"/>
        </w:rPr>
        <w:t>בענין</w:t>
      </w:r>
      <w:proofErr w:type="spellEnd"/>
      <w:r w:rsidRPr="000A1BD1">
        <w:rPr>
          <w:rFonts w:cs="David"/>
          <w:sz w:val="22"/>
          <w:szCs w:val="22"/>
          <w:rtl/>
          <w:lang w:eastAsia="he-IL"/>
        </w:rPr>
        <w:t xml:space="preserve"> "הלעיטהו" (סט ע"א), שבמקום שעובר העבירה עובר ממילא עבירה שאין באפשרותנו למנוע ממנו, וישנה אפשרות שתוך כדי כך יעבור עבירה נוספת שיש באפשרותנו </w:t>
      </w:r>
      <w:proofErr w:type="spellStart"/>
      <w:r w:rsidRPr="000A1BD1">
        <w:rPr>
          <w:rFonts w:cs="David"/>
          <w:sz w:val="22"/>
          <w:szCs w:val="22"/>
          <w:rtl/>
          <w:lang w:eastAsia="he-IL"/>
        </w:rPr>
        <w:t>למונעה</w:t>
      </w:r>
      <w:proofErr w:type="spellEnd"/>
      <w:r w:rsidRPr="000A1BD1">
        <w:rPr>
          <w:rFonts w:cs="David"/>
          <w:sz w:val="22"/>
          <w:szCs w:val="22"/>
          <w:rtl/>
          <w:lang w:eastAsia="he-IL"/>
        </w:rPr>
        <w:t xml:space="preserve"> ממנו, אין חיוב </w:t>
      </w:r>
      <w:proofErr w:type="spellStart"/>
      <w:r w:rsidRPr="000A1BD1">
        <w:rPr>
          <w:rFonts w:cs="David"/>
          <w:sz w:val="22"/>
          <w:szCs w:val="22"/>
          <w:rtl/>
          <w:lang w:eastAsia="he-IL"/>
        </w:rPr>
        <w:t>למונעו</w:t>
      </w:r>
      <w:proofErr w:type="spellEnd"/>
      <w:r w:rsidRPr="000A1BD1">
        <w:rPr>
          <w:rFonts w:cs="David"/>
          <w:sz w:val="22"/>
          <w:szCs w:val="22"/>
          <w:rtl/>
          <w:lang w:eastAsia="he-IL"/>
        </w:rPr>
        <w:t>. עוד יש לדון מצד מה שכתב רמב"ם בפי' המשניות (מעשר שני פ"ד מ"ו), שמותר לתת מעות דמאי למוכר עם-הארץ שבלאו הכי אינו מקפיד שלא לעבור איסורים. אמנם צ"ע בהבנת דבריו.</w:t>
      </w:r>
    </w:p>
    <w:p w14:paraId="3CE966E6"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7</w:t>
      </w:r>
      <w:r w:rsidRPr="000A1BD1">
        <w:rPr>
          <w:rFonts w:cs="David"/>
          <w:sz w:val="22"/>
          <w:szCs w:val="22"/>
          <w:rtl/>
          <w:lang w:eastAsia="he-IL"/>
        </w:rPr>
        <w:t xml:space="preserve"> </w:t>
      </w:r>
      <w:r w:rsidRPr="000A1BD1">
        <w:rPr>
          <w:rFonts w:cs="David"/>
          <w:sz w:val="22"/>
          <w:szCs w:val="22"/>
          <w:rtl/>
          <w:lang w:eastAsia="he-IL"/>
        </w:rPr>
        <w:tab/>
        <w:t xml:space="preserve">דעת "משנה למלך" (פ"ד מהל' </w:t>
      </w:r>
      <w:proofErr w:type="spellStart"/>
      <w:r w:rsidRPr="000A1BD1">
        <w:rPr>
          <w:rFonts w:cs="David"/>
          <w:sz w:val="22"/>
          <w:szCs w:val="22"/>
          <w:rtl/>
          <w:lang w:eastAsia="he-IL"/>
        </w:rPr>
        <w:t>מלוה</w:t>
      </w:r>
      <w:proofErr w:type="spellEnd"/>
      <w:r w:rsidRPr="000A1BD1">
        <w:rPr>
          <w:rFonts w:cs="David"/>
          <w:sz w:val="22"/>
          <w:szCs w:val="22"/>
          <w:rtl/>
          <w:lang w:eastAsia="he-IL"/>
        </w:rPr>
        <w:t xml:space="preserve"> ולווה </w:t>
      </w:r>
      <w:proofErr w:type="spellStart"/>
      <w:r w:rsidRPr="000A1BD1">
        <w:rPr>
          <w:rFonts w:cs="David"/>
          <w:sz w:val="22"/>
          <w:szCs w:val="22"/>
          <w:rtl/>
          <w:lang w:eastAsia="he-IL"/>
        </w:rPr>
        <w:t>ה"ב</w:t>
      </w:r>
      <w:proofErr w:type="spellEnd"/>
      <w:r w:rsidRPr="000A1BD1">
        <w:rPr>
          <w:rFonts w:cs="David"/>
          <w:sz w:val="22"/>
          <w:szCs w:val="22"/>
          <w:rtl/>
          <w:lang w:eastAsia="he-IL"/>
        </w:rPr>
        <w:t xml:space="preserve">) שגם במקרה שהמוכשל יכול היה לעבור את העבירה גם ללא סיוע המכשיל, אבל זקוק בכל אופן לסיוע של יהודי אחר - עובר בכל זאת על איסור "לפני עיור" </w:t>
      </w:r>
      <w:proofErr w:type="spellStart"/>
      <w:r w:rsidRPr="000A1BD1">
        <w:rPr>
          <w:rFonts w:cs="David"/>
          <w:sz w:val="22"/>
          <w:szCs w:val="22"/>
          <w:rtl/>
          <w:lang w:eastAsia="he-IL"/>
        </w:rPr>
        <w:t>דאוריתא</w:t>
      </w:r>
      <w:proofErr w:type="spellEnd"/>
      <w:r w:rsidRPr="000A1BD1">
        <w:rPr>
          <w:rFonts w:cs="David"/>
          <w:sz w:val="22"/>
          <w:szCs w:val="22"/>
          <w:rtl/>
          <w:lang w:eastAsia="he-IL"/>
        </w:rPr>
        <w:t>.  אך דעת "פני משה" (</w:t>
      </w:r>
      <w:proofErr w:type="spellStart"/>
      <w:r w:rsidRPr="000A1BD1">
        <w:rPr>
          <w:rFonts w:cs="David"/>
          <w:sz w:val="22"/>
          <w:szCs w:val="22"/>
          <w:rtl/>
          <w:lang w:eastAsia="he-IL"/>
        </w:rPr>
        <w:t>ח"ב</w:t>
      </w:r>
      <w:proofErr w:type="spellEnd"/>
      <w:r w:rsidRPr="000A1BD1">
        <w:rPr>
          <w:rFonts w:cs="David"/>
          <w:sz w:val="22"/>
          <w:szCs w:val="22"/>
          <w:rtl/>
          <w:lang w:eastAsia="he-IL"/>
        </w:rPr>
        <w:t xml:space="preserve"> סי' </w:t>
      </w:r>
      <w:proofErr w:type="spellStart"/>
      <w:r w:rsidRPr="000A1BD1">
        <w:rPr>
          <w:rFonts w:cs="David"/>
          <w:sz w:val="22"/>
          <w:szCs w:val="22"/>
          <w:rtl/>
          <w:lang w:eastAsia="he-IL"/>
        </w:rPr>
        <w:t>קה</w:t>
      </w:r>
      <w:proofErr w:type="spellEnd"/>
      <w:r w:rsidRPr="000A1BD1">
        <w:rPr>
          <w:rFonts w:cs="David"/>
          <w:sz w:val="22"/>
          <w:szCs w:val="22"/>
          <w:rtl/>
          <w:lang w:eastAsia="he-IL"/>
        </w:rPr>
        <w:t xml:space="preserve">) ו"כתב סופר" (יו"ד סי' פג) היא שגם </w:t>
      </w:r>
      <w:proofErr w:type="spellStart"/>
      <w:r w:rsidRPr="000A1BD1">
        <w:rPr>
          <w:rFonts w:cs="David"/>
          <w:sz w:val="22"/>
          <w:szCs w:val="22"/>
          <w:rtl/>
          <w:lang w:eastAsia="he-IL"/>
        </w:rPr>
        <w:t>בכהאי</w:t>
      </w:r>
      <w:proofErr w:type="spellEnd"/>
      <w:r w:rsidRPr="000A1BD1">
        <w:rPr>
          <w:rFonts w:cs="David"/>
          <w:sz w:val="22"/>
          <w:szCs w:val="22"/>
          <w:rtl/>
          <w:lang w:eastAsia="he-IL"/>
        </w:rPr>
        <w:t xml:space="preserve"> </w:t>
      </w:r>
      <w:proofErr w:type="spellStart"/>
      <w:r w:rsidRPr="000A1BD1">
        <w:rPr>
          <w:rFonts w:cs="David"/>
          <w:sz w:val="22"/>
          <w:szCs w:val="22"/>
          <w:rtl/>
          <w:lang w:eastAsia="he-IL"/>
        </w:rPr>
        <w:t>גוונא</w:t>
      </w:r>
      <w:proofErr w:type="spellEnd"/>
      <w:r w:rsidRPr="000A1BD1">
        <w:rPr>
          <w:rFonts w:cs="David"/>
          <w:sz w:val="22"/>
          <w:szCs w:val="22"/>
          <w:rtl/>
          <w:lang w:eastAsia="he-IL"/>
        </w:rPr>
        <w:t xml:space="preserve"> אין עוברים על "לפני עיור" </w:t>
      </w:r>
      <w:proofErr w:type="spellStart"/>
      <w:r w:rsidRPr="000A1BD1">
        <w:rPr>
          <w:rFonts w:cs="David"/>
          <w:sz w:val="22"/>
          <w:szCs w:val="22"/>
          <w:rtl/>
          <w:lang w:eastAsia="he-IL"/>
        </w:rPr>
        <w:t>דאוריתא</w:t>
      </w:r>
      <w:proofErr w:type="spellEnd"/>
      <w:r w:rsidRPr="000A1BD1">
        <w:rPr>
          <w:rFonts w:cs="David"/>
          <w:sz w:val="22"/>
          <w:szCs w:val="22"/>
          <w:rtl/>
          <w:lang w:eastAsia="he-IL"/>
        </w:rPr>
        <w:t xml:space="preserve">. "שדי חמד" (מערכה ו כלל </w:t>
      </w:r>
      <w:proofErr w:type="spellStart"/>
      <w:r w:rsidRPr="000A1BD1">
        <w:rPr>
          <w:rFonts w:cs="David"/>
          <w:sz w:val="22"/>
          <w:szCs w:val="22"/>
          <w:rtl/>
          <w:lang w:eastAsia="he-IL"/>
        </w:rPr>
        <w:t>כו</w:t>
      </w:r>
      <w:proofErr w:type="spellEnd"/>
      <w:r w:rsidRPr="000A1BD1">
        <w:rPr>
          <w:rFonts w:cs="David"/>
          <w:sz w:val="22"/>
          <w:szCs w:val="22"/>
          <w:rtl/>
          <w:lang w:eastAsia="he-IL"/>
        </w:rPr>
        <w:t xml:space="preserve"> אות ט) כתב שגדולי האחרונים סוברים כ"משנה למלך", ועיין סיכום בספר "לפני עיור" (הנ"ל, עמ' </w:t>
      </w:r>
      <w:proofErr w:type="spellStart"/>
      <w:r w:rsidRPr="000A1BD1">
        <w:rPr>
          <w:rFonts w:cs="David"/>
          <w:sz w:val="22"/>
          <w:szCs w:val="22"/>
          <w:rtl/>
          <w:lang w:eastAsia="he-IL"/>
        </w:rPr>
        <w:t>כז</w:t>
      </w:r>
      <w:proofErr w:type="spellEnd"/>
      <w:r w:rsidRPr="000A1BD1">
        <w:rPr>
          <w:rFonts w:cs="David"/>
          <w:sz w:val="22"/>
          <w:szCs w:val="22"/>
          <w:rtl/>
          <w:lang w:eastAsia="he-IL"/>
        </w:rPr>
        <w:t xml:space="preserve"> - לא). ועיין </w:t>
      </w:r>
      <w:proofErr w:type="spellStart"/>
      <w:r w:rsidRPr="000A1BD1">
        <w:rPr>
          <w:rFonts w:cs="David"/>
          <w:sz w:val="22"/>
          <w:szCs w:val="22"/>
          <w:rtl/>
          <w:lang w:eastAsia="he-IL"/>
        </w:rPr>
        <w:t>בשו"ת</w:t>
      </w:r>
      <w:proofErr w:type="spellEnd"/>
      <w:r w:rsidRPr="000A1BD1">
        <w:rPr>
          <w:rFonts w:cs="David"/>
          <w:sz w:val="22"/>
          <w:szCs w:val="22"/>
          <w:rtl/>
          <w:lang w:eastAsia="he-IL"/>
        </w:rPr>
        <w:t xml:space="preserve"> "חלקת יעקב" (</w:t>
      </w:r>
      <w:proofErr w:type="spellStart"/>
      <w:r w:rsidRPr="000A1BD1">
        <w:rPr>
          <w:rFonts w:cs="David"/>
          <w:sz w:val="22"/>
          <w:szCs w:val="22"/>
          <w:rtl/>
          <w:lang w:eastAsia="he-IL"/>
        </w:rPr>
        <w:t>או"ח</w:t>
      </w:r>
      <w:proofErr w:type="spellEnd"/>
      <w:r w:rsidRPr="000A1BD1">
        <w:rPr>
          <w:rFonts w:cs="David"/>
          <w:sz w:val="22"/>
          <w:szCs w:val="22"/>
          <w:rtl/>
          <w:lang w:eastAsia="he-IL"/>
        </w:rPr>
        <w:t xml:space="preserve"> סי' </w:t>
      </w:r>
      <w:proofErr w:type="spellStart"/>
      <w:r w:rsidRPr="000A1BD1">
        <w:rPr>
          <w:rFonts w:cs="David"/>
          <w:sz w:val="22"/>
          <w:szCs w:val="22"/>
          <w:rtl/>
          <w:lang w:eastAsia="he-IL"/>
        </w:rPr>
        <w:t>סז</w:t>
      </w:r>
      <w:proofErr w:type="spellEnd"/>
      <w:r w:rsidRPr="000A1BD1">
        <w:rPr>
          <w:rFonts w:cs="David"/>
          <w:sz w:val="22"/>
          <w:szCs w:val="22"/>
          <w:rtl/>
          <w:lang w:eastAsia="he-IL"/>
        </w:rPr>
        <w:t xml:space="preserve"> במהדורה החדשה) שמטעם ה"משנה למלך" הנ"ל אסר להעמיד בארץ-ישראל מכונה אוטומטית למכירת אוכל ברשות-הרבים בשבת, אע"פ שישנן שם מכונות של בעלים אחרים,  מכיוון שגם בעלי המכונות האחרות הם על פי רוב  יהודים.</w:t>
      </w:r>
    </w:p>
    <w:p w14:paraId="611D67EF"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8</w:t>
      </w:r>
      <w:r w:rsidRPr="000A1BD1">
        <w:rPr>
          <w:rFonts w:cs="David"/>
          <w:sz w:val="22"/>
          <w:szCs w:val="22"/>
          <w:rtl/>
          <w:lang w:eastAsia="he-IL"/>
        </w:rPr>
        <w:t xml:space="preserve"> </w:t>
      </w:r>
      <w:r w:rsidRPr="000A1BD1">
        <w:rPr>
          <w:rFonts w:cs="David"/>
          <w:sz w:val="22"/>
          <w:szCs w:val="22"/>
          <w:rtl/>
          <w:lang w:eastAsia="he-IL"/>
        </w:rPr>
        <w:tab/>
      </w:r>
      <w:proofErr w:type="spellStart"/>
      <w:r w:rsidRPr="000A1BD1">
        <w:rPr>
          <w:rFonts w:cs="David"/>
          <w:sz w:val="22"/>
          <w:szCs w:val="22"/>
          <w:rtl/>
          <w:lang w:eastAsia="he-IL"/>
        </w:rPr>
        <w:t>שו"ע</w:t>
      </w:r>
      <w:proofErr w:type="spellEnd"/>
      <w:r w:rsidRPr="000A1BD1">
        <w:rPr>
          <w:rFonts w:cs="David"/>
          <w:sz w:val="22"/>
          <w:szCs w:val="22"/>
          <w:rtl/>
          <w:lang w:eastAsia="he-IL"/>
        </w:rPr>
        <w:t xml:space="preserve"> יורה דעה (סי' קנא ס"א </w:t>
      </w:r>
      <w:proofErr w:type="spellStart"/>
      <w:r w:rsidRPr="000A1BD1">
        <w:rPr>
          <w:rFonts w:cs="David"/>
          <w:sz w:val="22"/>
          <w:szCs w:val="22"/>
          <w:rtl/>
          <w:lang w:eastAsia="he-IL"/>
        </w:rPr>
        <w:t>בהג"ה</w:t>
      </w:r>
      <w:proofErr w:type="spellEnd"/>
      <w:r w:rsidRPr="000A1BD1">
        <w:rPr>
          <w:rFonts w:cs="David"/>
          <w:sz w:val="22"/>
          <w:szCs w:val="22"/>
          <w:rtl/>
          <w:lang w:eastAsia="he-IL"/>
        </w:rPr>
        <w:t>).</w:t>
      </w:r>
    </w:p>
    <w:p w14:paraId="4029289F"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9</w:t>
      </w:r>
      <w:r w:rsidRPr="000A1BD1">
        <w:rPr>
          <w:rFonts w:cs="David"/>
          <w:sz w:val="22"/>
          <w:szCs w:val="22"/>
          <w:rtl/>
          <w:lang w:eastAsia="he-IL"/>
        </w:rPr>
        <w:t xml:space="preserve"> </w:t>
      </w:r>
      <w:r w:rsidRPr="000A1BD1">
        <w:rPr>
          <w:rFonts w:cs="David"/>
          <w:sz w:val="22"/>
          <w:szCs w:val="22"/>
          <w:rtl/>
          <w:lang w:eastAsia="he-IL"/>
        </w:rPr>
        <w:tab/>
      </w:r>
      <w:proofErr w:type="spellStart"/>
      <w:r w:rsidRPr="000A1BD1">
        <w:rPr>
          <w:rFonts w:cs="David"/>
          <w:sz w:val="22"/>
          <w:szCs w:val="22"/>
          <w:rtl/>
          <w:lang w:eastAsia="he-IL"/>
        </w:rPr>
        <w:t>הש"ך</w:t>
      </w:r>
      <w:proofErr w:type="spellEnd"/>
      <w:r w:rsidRPr="000A1BD1">
        <w:rPr>
          <w:rFonts w:cs="David"/>
          <w:sz w:val="22"/>
          <w:szCs w:val="22"/>
          <w:rtl/>
          <w:lang w:eastAsia="he-IL"/>
        </w:rPr>
        <w:t xml:space="preserve"> (יו"ד סי' קנא </w:t>
      </w:r>
      <w:proofErr w:type="spellStart"/>
      <w:r w:rsidRPr="000A1BD1">
        <w:rPr>
          <w:rFonts w:cs="David"/>
          <w:sz w:val="22"/>
          <w:szCs w:val="22"/>
          <w:rtl/>
          <w:lang w:eastAsia="he-IL"/>
        </w:rPr>
        <w:t>ס"ק</w:t>
      </w:r>
      <w:proofErr w:type="spellEnd"/>
      <w:r w:rsidRPr="000A1BD1">
        <w:rPr>
          <w:rFonts w:cs="David"/>
          <w:sz w:val="22"/>
          <w:szCs w:val="22"/>
          <w:rtl/>
          <w:lang w:eastAsia="he-IL"/>
        </w:rPr>
        <w:t xml:space="preserve"> ו) פסק שבמומר אין איסור מסייע, אומנם הרבה אחרונים נחלקו עליו, עיין ספר "לפני עיור" (עמ' </w:t>
      </w:r>
      <w:proofErr w:type="spellStart"/>
      <w:r w:rsidRPr="000A1BD1">
        <w:rPr>
          <w:rFonts w:cs="David"/>
          <w:sz w:val="22"/>
          <w:szCs w:val="22"/>
          <w:rtl/>
          <w:lang w:eastAsia="he-IL"/>
        </w:rPr>
        <w:t>קכח-קלב</w:t>
      </w:r>
      <w:proofErr w:type="spellEnd"/>
      <w:r w:rsidRPr="000A1BD1">
        <w:rPr>
          <w:rFonts w:cs="David"/>
          <w:sz w:val="22"/>
          <w:szCs w:val="22"/>
          <w:rtl/>
          <w:lang w:eastAsia="he-IL"/>
        </w:rPr>
        <w:t xml:space="preserve">).  הרב שלמה גורן במאמרו על מכשירי בנקומטים בשבת (קובץ "שנה בשנה" תשמ"א עמ' 181) דוחה התבססות על </w:t>
      </w:r>
      <w:proofErr w:type="spellStart"/>
      <w:r w:rsidRPr="000A1BD1">
        <w:rPr>
          <w:rFonts w:cs="David"/>
          <w:sz w:val="22"/>
          <w:szCs w:val="22"/>
          <w:rtl/>
          <w:lang w:eastAsia="he-IL"/>
        </w:rPr>
        <w:t>הש"ך</w:t>
      </w:r>
      <w:proofErr w:type="spellEnd"/>
      <w:r w:rsidRPr="000A1BD1">
        <w:rPr>
          <w:rFonts w:cs="David"/>
          <w:sz w:val="22"/>
          <w:szCs w:val="22"/>
          <w:rtl/>
          <w:lang w:eastAsia="he-IL"/>
        </w:rPr>
        <w:t xml:space="preserve"> הנ"ל להיתר, משתי סיבות: א. שיטת הפוסקים שבזמן הזה אין דינם של מחללי שבת </w:t>
      </w:r>
      <w:proofErr w:type="spellStart"/>
      <w:r w:rsidRPr="000A1BD1">
        <w:rPr>
          <w:rFonts w:cs="David"/>
          <w:sz w:val="22"/>
          <w:szCs w:val="22"/>
          <w:rtl/>
          <w:lang w:eastAsia="he-IL"/>
        </w:rPr>
        <w:t>בפרהסיא</w:t>
      </w:r>
      <w:proofErr w:type="spellEnd"/>
      <w:r w:rsidRPr="000A1BD1">
        <w:rPr>
          <w:rFonts w:cs="David"/>
          <w:sz w:val="22"/>
          <w:szCs w:val="22"/>
          <w:rtl/>
          <w:lang w:eastAsia="he-IL"/>
        </w:rPr>
        <w:t xml:space="preserve"> כמומרים מפני שהם נחשבים למי שלא הוכיחו אותם; ב. יש לחוש לדעת </w:t>
      </w:r>
      <w:proofErr w:type="spellStart"/>
      <w:r w:rsidRPr="000A1BD1">
        <w:rPr>
          <w:rFonts w:cs="David"/>
          <w:sz w:val="22"/>
          <w:szCs w:val="22"/>
          <w:rtl/>
          <w:lang w:eastAsia="he-IL"/>
        </w:rPr>
        <w:t>הרמ"א</w:t>
      </w:r>
      <w:proofErr w:type="spellEnd"/>
      <w:r w:rsidRPr="000A1BD1">
        <w:rPr>
          <w:rFonts w:cs="David"/>
          <w:sz w:val="22"/>
          <w:szCs w:val="22"/>
          <w:rtl/>
          <w:lang w:eastAsia="he-IL"/>
        </w:rPr>
        <w:t xml:space="preserve"> שככל הנראה חולק על </w:t>
      </w:r>
      <w:proofErr w:type="spellStart"/>
      <w:r w:rsidRPr="000A1BD1">
        <w:rPr>
          <w:rFonts w:cs="David"/>
          <w:sz w:val="22"/>
          <w:szCs w:val="22"/>
          <w:rtl/>
          <w:lang w:eastAsia="he-IL"/>
        </w:rPr>
        <w:t>הש"ך</w:t>
      </w:r>
      <w:proofErr w:type="spellEnd"/>
      <w:r w:rsidRPr="000A1BD1">
        <w:rPr>
          <w:rFonts w:cs="David"/>
          <w:sz w:val="22"/>
          <w:szCs w:val="22"/>
          <w:rtl/>
          <w:lang w:eastAsia="he-IL"/>
        </w:rPr>
        <w:t>. ויש סברות נוספות לכך שלא נחשיב כיום אנשים אלה למומרים ח"ו אלא ל"ציבור ששגג".</w:t>
      </w:r>
    </w:p>
    <w:p w14:paraId="06082BB7"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10</w:t>
      </w:r>
      <w:r w:rsidRPr="000A1BD1">
        <w:rPr>
          <w:rFonts w:cs="David"/>
          <w:sz w:val="22"/>
          <w:szCs w:val="22"/>
          <w:rtl/>
          <w:lang w:eastAsia="he-IL"/>
        </w:rPr>
        <w:t xml:space="preserve"> כך מפרש שם "דגול מרבבה" את </w:t>
      </w:r>
      <w:proofErr w:type="spellStart"/>
      <w:r w:rsidRPr="000A1BD1">
        <w:rPr>
          <w:rFonts w:cs="David"/>
          <w:sz w:val="22"/>
          <w:szCs w:val="22"/>
          <w:rtl/>
          <w:lang w:eastAsia="he-IL"/>
        </w:rPr>
        <w:t>הש"ך</w:t>
      </w:r>
      <w:proofErr w:type="spellEnd"/>
      <w:r w:rsidRPr="000A1BD1">
        <w:rPr>
          <w:rFonts w:cs="David"/>
          <w:sz w:val="22"/>
          <w:szCs w:val="22"/>
          <w:rtl/>
          <w:lang w:eastAsia="he-IL"/>
        </w:rPr>
        <w:t xml:space="preserve">, </w:t>
      </w:r>
      <w:proofErr w:type="spellStart"/>
      <w:r w:rsidRPr="000A1BD1">
        <w:rPr>
          <w:rFonts w:cs="David"/>
          <w:sz w:val="22"/>
          <w:szCs w:val="22"/>
          <w:rtl/>
          <w:lang w:eastAsia="he-IL"/>
        </w:rPr>
        <w:t>וב"גליון</w:t>
      </w:r>
      <w:proofErr w:type="spellEnd"/>
      <w:r w:rsidRPr="000A1BD1">
        <w:rPr>
          <w:rFonts w:cs="David"/>
          <w:sz w:val="22"/>
          <w:szCs w:val="22"/>
          <w:rtl/>
          <w:lang w:eastAsia="he-IL"/>
        </w:rPr>
        <w:t xml:space="preserve"> </w:t>
      </w:r>
      <w:proofErr w:type="spellStart"/>
      <w:r w:rsidRPr="000A1BD1">
        <w:rPr>
          <w:rFonts w:cs="David"/>
          <w:sz w:val="22"/>
          <w:szCs w:val="22"/>
          <w:rtl/>
          <w:lang w:eastAsia="he-IL"/>
        </w:rPr>
        <w:t>מהרש"א</w:t>
      </w:r>
      <w:proofErr w:type="spellEnd"/>
      <w:r w:rsidRPr="000A1BD1">
        <w:rPr>
          <w:rFonts w:cs="David"/>
          <w:sz w:val="22"/>
          <w:szCs w:val="22"/>
          <w:rtl/>
          <w:lang w:eastAsia="he-IL"/>
        </w:rPr>
        <w:t xml:space="preserve">" שם חולק על ה"דגול מרבבה".  ב"אגרות משה" (יו"ד א סי' עב) </w:t>
      </w:r>
      <w:proofErr w:type="spellStart"/>
      <w:r w:rsidRPr="000A1BD1">
        <w:rPr>
          <w:rFonts w:cs="David"/>
          <w:sz w:val="22"/>
          <w:szCs w:val="22"/>
          <w:rtl/>
          <w:lang w:eastAsia="he-IL"/>
        </w:rPr>
        <w:t>וב"ציץ</w:t>
      </w:r>
      <w:proofErr w:type="spellEnd"/>
      <w:r w:rsidRPr="000A1BD1">
        <w:rPr>
          <w:rFonts w:cs="David"/>
          <w:sz w:val="22"/>
          <w:szCs w:val="22"/>
          <w:rtl/>
          <w:lang w:eastAsia="he-IL"/>
        </w:rPr>
        <w:t xml:space="preserve"> אליעזר" (ח' טו סי' </w:t>
      </w:r>
      <w:proofErr w:type="spellStart"/>
      <w:r w:rsidRPr="000A1BD1">
        <w:rPr>
          <w:rFonts w:cs="David"/>
          <w:sz w:val="22"/>
          <w:szCs w:val="22"/>
          <w:rtl/>
          <w:lang w:eastAsia="he-IL"/>
        </w:rPr>
        <w:t>יח</w:t>
      </w:r>
      <w:proofErr w:type="spellEnd"/>
      <w:r w:rsidRPr="000A1BD1">
        <w:rPr>
          <w:rFonts w:cs="David"/>
          <w:sz w:val="22"/>
          <w:szCs w:val="22"/>
          <w:rtl/>
          <w:lang w:eastAsia="he-IL"/>
        </w:rPr>
        <w:t xml:space="preserve">) הוכיחו כדעת ה"דגול מרבבה". אומנם ב"אגרות משה" (אבן העזר ח"ד סי' </w:t>
      </w:r>
      <w:proofErr w:type="spellStart"/>
      <w:r w:rsidRPr="000A1BD1">
        <w:rPr>
          <w:rFonts w:cs="David"/>
          <w:sz w:val="22"/>
          <w:szCs w:val="22"/>
          <w:rtl/>
          <w:lang w:eastAsia="he-IL"/>
        </w:rPr>
        <w:t>סא</w:t>
      </w:r>
      <w:proofErr w:type="spellEnd"/>
      <w:r w:rsidRPr="000A1BD1">
        <w:rPr>
          <w:rFonts w:cs="David"/>
          <w:sz w:val="22"/>
          <w:szCs w:val="22"/>
          <w:rtl/>
          <w:lang w:eastAsia="he-IL"/>
        </w:rPr>
        <w:t xml:space="preserve"> אות ב) כתב שכאשר ניתן למנוע את העבירה,  ודאי שישנו חיוב </w:t>
      </w:r>
      <w:proofErr w:type="spellStart"/>
      <w:r w:rsidRPr="000A1BD1">
        <w:rPr>
          <w:rFonts w:cs="David"/>
          <w:sz w:val="22"/>
          <w:szCs w:val="22"/>
          <w:rtl/>
          <w:lang w:eastAsia="he-IL"/>
        </w:rPr>
        <w:t>לאפרושי</w:t>
      </w:r>
      <w:proofErr w:type="spellEnd"/>
      <w:r w:rsidRPr="000A1BD1">
        <w:rPr>
          <w:rFonts w:cs="David"/>
          <w:sz w:val="22"/>
          <w:szCs w:val="22"/>
          <w:rtl/>
          <w:lang w:eastAsia="he-IL"/>
        </w:rPr>
        <w:t xml:space="preserve"> גם במזיד, ורק כאשר העבירה תתבצע ממילא, אין איסור מסייע במזיד.  </w:t>
      </w:r>
      <w:proofErr w:type="spellStart"/>
      <w:r w:rsidRPr="000A1BD1">
        <w:rPr>
          <w:rFonts w:cs="David"/>
          <w:sz w:val="22"/>
          <w:szCs w:val="22"/>
          <w:rtl/>
          <w:lang w:eastAsia="he-IL"/>
        </w:rPr>
        <w:t>ומ"חזון</w:t>
      </w:r>
      <w:proofErr w:type="spellEnd"/>
      <w:r w:rsidRPr="000A1BD1">
        <w:rPr>
          <w:rFonts w:cs="David"/>
          <w:sz w:val="22"/>
          <w:szCs w:val="22"/>
          <w:rtl/>
          <w:lang w:eastAsia="he-IL"/>
        </w:rPr>
        <w:t xml:space="preserve"> </w:t>
      </w:r>
      <w:proofErr w:type="spellStart"/>
      <w:r w:rsidRPr="000A1BD1">
        <w:rPr>
          <w:rFonts w:cs="David"/>
          <w:sz w:val="22"/>
          <w:szCs w:val="22"/>
          <w:rtl/>
          <w:lang w:eastAsia="he-IL"/>
        </w:rPr>
        <w:t>אי"ש</w:t>
      </w:r>
      <w:proofErr w:type="spellEnd"/>
      <w:r w:rsidRPr="000A1BD1">
        <w:rPr>
          <w:rFonts w:cs="David"/>
          <w:sz w:val="22"/>
          <w:szCs w:val="22"/>
          <w:rtl/>
          <w:lang w:eastAsia="he-IL"/>
        </w:rPr>
        <w:t>" (דמאי סי' ח אות ט) משמע שבמקום שסיועו של המכשיל הוא פאסיבי, והמוכשל מזיד, אין איסור מסייע. ובספר "גבעת לבונה" כתב שגם לשיטת ה"דגול מרבבה" באיסורי שבת אסור לסייע גם למזיד, אולם לא משמע כן משאר הפוסקים.</w:t>
      </w:r>
    </w:p>
    <w:p w14:paraId="0281B7B1"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11</w:t>
      </w:r>
      <w:r w:rsidRPr="000A1BD1">
        <w:rPr>
          <w:rFonts w:cs="David"/>
          <w:sz w:val="22"/>
          <w:szCs w:val="22"/>
          <w:rtl/>
          <w:lang w:eastAsia="he-IL"/>
        </w:rPr>
        <w:t xml:space="preserve"> "פתחי תשובה" (יו"ד סי' פג), "משיב דבר" (</w:t>
      </w:r>
      <w:proofErr w:type="spellStart"/>
      <w:r w:rsidRPr="000A1BD1">
        <w:rPr>
          <w:rFonts w:cs="David"/>
          <w:sz w:val="22"/>
          <w:szCs w:val="22"/>
          <w:rtl/>
          <w:lang w:eastAsia="he-IL"/>
        </w:rPr>
        <w:t>ח"ב</w:t>
      </w:r>
      <w:proofErr w:type="spellEnd"/>
      <w:r w:rsidRPr="000A1BD1">
        <w:rPr>
          <w:rFonts w:cs="David"/>
          <w:sz w:val="22"/>
          <w:szCs w:val="22"/>
          <w:rtl/>
          <w:lang w:eastAsia="he-IL"/>
        </w:rPr>
        <w:t xml:space="preserve"> סי' לא-לב) ו"בניין ציון" (סי' טו) התירו סיוע בזמן שאינו סמוך לבצוע העבירה,  ועיין עוד "מגן אברהם" (</w:t>
      </w:r>
      <w:proofErr w:type="spellStart"/>
      <w:r w:rsidRPr="000A1BD1">
        <w:rPr>
          <w:rFonts w:cs="David"/>
          <w:sz w:val="22"/>
          <w:szCs w:val="22"/>
          <w:rtl/>
          <w:lang w:eastAsia="he-IL"/>
        </w:rPr>
        <w:t>שו"ע</w:t>
      </w:r>
      <w:proofErr w:type="spellEnd"/>
      <w:r w:rsidRPr="000A1BD1">
        <w:rPr>
          <w:rFonts w:cs="David"/>
          <w:sz w:val="22"/>
          <w:szCs w:val="22"/>
          <w:rtl/>
          <w:lang w:eastAsia="he-IL"/>
        </w:rPr>
        <w:t xml:space="preserve"> </w:t>
      </w:r>
      <w:proofErr w:type="spellStart"/>
      <w:r w:rsidRPr="000A1BD1">
        <w:rPr>
          <w:rFonts w:cs="David"/>
          <w:sz w:val="22"/>
          <w:szCs w:val="22"/>
          <w:rtl/>
          <w:lang w:eastAsia="he-IL"/>
        </w:rPr>
        <w:t>או"ח</w:t>
      </w:r>
      <w:proofErr w:type="spellEnd"/>
      <w:r w:rsidRPr="000A1BD1">
        <w:rPr>
          <w:rFonts w:cs="David"/>
          <w:sz w:val="22"/>
          <w:szCs w:val="22"/>
          <w:rtl/>
          <w:lang w:eastAsia="he-IL"/>
        </w:rPr>
        <w:t xml:space="preserve"> סי' קסט </w:t>
      </w:r>
      <w:proofErr w:type="spellStart"/>
      <w:r w:rsidRPr="000A1BD1">
        <w:rPr>
          <w:rFonts w:cs="David"/>
          <w:sz w:val="22"/>
          <w:szCs w:val="22"/>
          <w:rtl/>
          <w:lang w:eastAsia="he-IL"/>
        </w:rPr>
        <w:t>ס"ק</w:t>
      </w:r>
      <w:proofErr w:type="spellEnd"/>
      <w:r w:rsidRPr="000A1BD1">
        <w:rPr>
          <w:rFonts w:cs="David"/>
          <w:sz w:val="22"/>
          <w:szCs w:val="22"/>
          <w:rtl/>
          <w:lang w:eastAsia="he-IL"/>
        </w:rPr>
        <w:t xml:space="preserve"> ו) שהבין מדברי </w:t>
      </w:r>
      <w:proofErr w:type="spellStart"/>
      <w:r w:rsidRPr="000A1BD1">
        <w:rPr>
          <w:rFonts w:cs="David"/>
          <w:sz w:val="22"/>
          <w:szCs w:val="22"/>
          <w:rtl/>
          <w:lang w:eastAsia="he-IL"/>
        </w:rPr>
        <w:t>הב"ח</w:t>
      </w:r>
      <w:proofErr w:type="spellEnd"/>
      <w:r w:rsidRPr="000A1BD1">
        <w:rPr>
          <w:rFonts w:cs="David"/>
          <w:sz w:val="22"/>
          <w:szCs w:val="22"/>
          <w:rtl/>
          <w:lang w:eastAsia="he-IL"/>
        </w:rPr>
        <w:t xml:space="preserve"> (שם ד"ה ואסור), </w:t>
      </w:r>
      <w:proofErr w:type="spellStart"/>
      <w:r w:rsidRPr="000A1BD1">
        <w:rPr>
          <w:rFonts w:cs="David"/>
          <w:sz w:val="22"/>
          <w:szCs w:val="22"/>
          <w:rtl/>
          <w:lang w:eastAsia="he-IL"/>
        </w:rPr>
        <w:t>דשרי</w:t>
      </w:r>
      <w:proofErr w:type="spellEnd"/>
      <w:r w:rsidRPr="000A1BD1">
        <w:rPr>
          <w:rFonts w:cs="David"/>
          <w:sz w:val="22"/>
          <w:szCs w:val="22"/>
          <w:rtl/>
          <w:lang w:eastAsia="he-IL"/>
        </w:rPr>
        <w:t xml:space="preserve"> כשאינו מכשיל בזמן העבירה, ואולם בספר "לפני עיור" (עמ' קלח-</w:t>
      </w:r>
      <w:proofErr w:type="spellStart"/>
      <w:r w:rsidRPr="000A1BD1">
        <w:rPr>
          <w:rFonts w:cs="David"/>
          <w:sz w:val="22"/>
          <w:szCs w:val="22"/>
          <w:rtl/>
          <w:lang w:eastAsia="he-IL"/>
        </w:rPr>
        <w:t>קמ</w:t>
      </w:r>
      <w:proofErr w:type="spellEnd"/>
      <w:r w:rsidRPr="000A1BD1">
        <w:rPr>
          <w:rFonts w:cs="David"/>
          <w:sz w:val="22"/>
          <w:szCs w:val="22"/>
          <w:rtl/>
          <w:lang w:eastAsia="he-IL"/>
        </w:rPr>
        <w:t xml:space="preserve">) הוכיח </w:t>
      </w:r>
      <w:proofErr w:type="spellStart"/>
      <w:r w:rsidRPr="000A1BD1">
        <w:rPr>
          <w:rFonts w:cs="David"/>
          <w:sz w:val="22"/>
          <w:szCs w:val="22"/>
          <w:rtl/>
          <w:lang w:eastAsia="he-IL"/>
        </w:rPr>
        <w:t>שרמ"א</w:t>
      </w:r>
      <w:proofErr w:type="spellEnd"/>
      <w:r w:rsidRPr="000A1BD1">
        <w:rPr>
          <w:rFonts w:cs="David"/>
          <w:sz w:val="22"/>
          <w:szCs w:val="22"/>
          <w:rtl/>
          <w:lang w:eastAsia="he-IL"/>
        </w:rPr>
        <w:t xml:space="preserve">, </w:t>
      </w:r>
      <w:proofErr w:type="spellStart"/>
      <w:r w:rsidRPr="000A1BD1">
        <w:rPr>
          <w:rFonts w:cs="David"/>
          <w:sz w:val="22"/>
          <w:szCs w:val="22"/>
          <w:rtl/>
          <w:lang w:eastAsia="he-IL"/>
        </w:rPr>
        <w:t>ש"ך</w:t>
      </w:r>
      <w:proofErr w:type="spellEnd"/>
      <w:r w:rsidRPr="000A1BD1">
        <w:rPr>
          <w:rFonts w:cs="David"/>
          <w:sz w:val="22"/>
          <w:szCs w:val="22"/>
          <w:rtl/>
          <w:lang w:eastAsia="he-IL"/>
        </w:rPr>
        <w:t xml:space="preserve"> ו"דגול מרבבה" חולקים על זה.</w:t>
      </w:r>
    </w:p>
    <w:p w14:paraId="4570BB38"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12</w:t>
      </w:r>
      <w:r w:rsidRPr="000A1BD1">
        <w:rPr>
          <w:rFonts w:cs="David"/>
          <w:sz w:val="22"/>
          <w:szCs w:val="22"/>
          <w:rtl/>
          <w:lang w:eastAsia="he-IL"/>
        </w:rPr>
        <w:t xml:space="preserve"> </w:t>
      </w:r>
      <w:proofErr w:type="spellStart"/>
      <w:r w:rsidRPr="000A1BD1">
        <w:rPr>
          <w:rFonts w:cs="David"/>
          <w:sz w:val="22"/>
          <w:szCs w:val="22"/>
          <w:rtl/>
          <w:lang w:eastAsia="he-IL"/>
        </w:rPr>
        <w:t>בשו"ת</w:t>
      </w:r>
      <w:proofErr w:type="spellEnd"/>
      <w:r w:rsidRPr="000A1BD1">
        <w:rPr>
          <w:rFonts w:cs="David"/>
          <w:sz w:val="22"/>
          <w:szCs w:val="22"/>
          <w:rtl/>
          <w:lang w:eastAsia="he-IL"/>
        </w:rPr>
        <w:t xml:space="preserve"> </w:t>
      </w:r>
      <w:proofErr w:type="spellStart"/>
      <w:r w:rsidRPr="000A1BD1">
        <w:rPr>
          <w:rFonts w:cs="David"/>
          <w:sz w:val="22"/>
          <w:szCs w:val="22"/>
          <w:rtl/>
          <w:lang w:eastAsia="he-IL"/>
        </w:rPr>
        <w:t>מהרש"ם</w:t>
      </w:r>
      <w:proofErr w:type="spellEnd"/>
      <w:r w:rsidRPr="000A1BD1">
        <w:rPr>
          <w:rFonts w:cs="David"/>
          <w:sz w:val="22"/>
          <w:szCs w:val="22"/>
          <w:rtl/>
          <w:lang w:eastAsia="he-IL"/>
        </w:rPr>
        <w:t xml:space="preserve"> (</w:t>
      </w:r>
      <w:proofErr w:type="spellStart"/>
      <w:r w:rsidRPr="000A1BD1">
        <w:rPr>
          <w:rFonts w:cs="David"/>
          <w:sz w:val="22"/>
          <w:szCs w:val="22"/>
          <w:rtl/>
          <w:lang w:eastAsia="he-IL"/>
        </w:rPr>
        <w:t>ח"ב</w:t>
      </w:r>
      <w:proofErr w:type="spellEnd"/>
      <w:r w:rsidRPr="000A1BD1">
        <w:rPr>
          <w:rFonts w:cs="David"/>
          <w:sz w:val="22"/>
          <w:szCs w:val="22"/>
          <w:rtl/>
          <w:lang w:eastAsia="he-IL"/>
        </w:rPr>
        <w:t xml:space="preserve"> קפד) חידש שלא שייך איסור מסייע, אלא כאשר העבריין עושה את האיסור בגוף החפץ שמסר לו המכשיל,  וצירף טעם זה להיתר להשכיר בית לספר המספר גם בשבת, מכיוון שזה עובר את האיסור בחלל הבית ולא בבית עצמו. גם  אנו יכולים לצרף טעם זה בנדון דידן - המוכשל עובר את העבירות באמצעות מחשבו האישי ולא בגוף איזה חפץ שהמכשיל מוסר לו</w:t>
      </w:r>
      <w:r w:rsidRPr="000A1BD1">
        <w:rPr>
          <w:rFonts w:cs="David" w:hint="cs"/>
          <w:sz w:val="22"/>
          <w:szCs w:val="22"/>
          <w:rtl/>
          <w:lang w:eastAsia="he-IL"/>
        </w:rPr>
        <w:t>.</w:t>
      </w:r>
    </w:p>
    <w:p w14:paraId="10CB3CD9"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13</w:t>
      </w:r>
      <w:r w:rsidRPr="000A1BD1">
        <w:rPr>
          <w:rFonts w:cs="David"/>
          <w:sz w:val="22"/>
          <w:szCs w:val="22"/>
          <w:rtl/>
          <w:lang w:eastAsia="he-IL"/>
        </w:rPr>
        <w:t xml:space="preserve"> במשנה שביעית (פ"ה מ"ו) מבואר שמותר למכור בשביעית לחשוד על השביעית כלי שמלאכתו להיתר ולאיסור, מכיוון שניתן לתלות שהוא קונה את הכלי למלאכת ההיתר.  ועיין בספר "לפני עיוור" (עמ' </w:t>
      </w:r>
      <w:proofErr w:type="spellStart"/>
      <w:r w:rsidRPr="000A1BD1">
        <w:rPr>
          <w:rFonts w:cs="David"/>
          <w:sz w:val="22"/>
          <w:szCs w:val="22"/>
          <w:rtl/>
          <w:lang w:eastAsia="he-IL"/>
        </w:rPr>
        <w:t>עא-עו</w:t>
      </w:r>
      <w:proofErr w:type="spellEnd"/>
      <w:r w:rsidRPr="000A1BD1">
        <w:rPr>
          <w:rFonts w:cs="David"/>
          <w:sz w:val="22"/>
          <w:szCs w:val="22"/>
          <w:rtl/>
          <w:lang w:eastAsia="he-IL"/>
        </w:rPr>
        <w:t xml:space="preserve">) שיש הרבה פוסקים הסוברים, דהיינו דווקא </w:t>
      </w:r>
      <w:proofErr w:type="spellStart"/>
      <w:r w:rsidRPr="000A1BD1">
        <w:rPr>
          <w:rFonts w:cs="David"/>
          <w:sz w:val="22"/>
          <w:szCs w:val="22"/>
          <w:rtl/>
          <w:lang w:eastAsia="he-IL"/>
        </w:rPr>
        <w:t>כשאיכא</w:t>
      </w:r>
      <w:proofErr w:type="spellEnd"/>
      <w:r w:rsidRPr="000A1BD1">
        <w:rPr>
          <w:rFonts w:cs="David"/>
          <w:sz w:val="22"/>
          <w:szCs w:val="22"/>
          <w:rtl/>
          <w:lang w:eastAsia="he-IL"/>
        </w:rPr>
        <w:t xml:space="preserve"> </w:t>
      </w:r>
      <w:proofErr w:type="spellStart"/>
      <w:r w:rsidRPr="000A1BD1">
        <w:rPr>
          <w:rFonts w:cs="David"/>
          <w:sz w:val="22"/>
          <w:szCs w:val="22"/>
          <w:rtl/>
          <w:lang w:eastAsia="he-IL"/>
        </w:rPr>
        <w:t>רובא</w:t>
      </w:r>
      <w:proofErr w:type="spellEnd"/>
      <w:r w:rsidRPr="000A1BD1">
        <w:rPr>
          <w:rFonts w:cs="David"/>
          <w:sz w:val="22"/>
          <w:szCs w:val="22"/>
          <w:rtl/>
          <w:lang w:eastAsia="he-IL"/>
        </w:rPr>
        <w:t xml:space="preserve"> </w:t>
      </w:r>
      <w:proofErr w:type="spellStart"/>
      <w:r w:rsidRPr="000A1BD1">
        <w:rPr>
          <w:rFonts w:cs="David"/>
          <w:sz w:val="22"/>
          <w:szCs w:val="22"/>
          <w:rtl/>
          <w:lang w:eastAsia="he-IL"/>
        </w:rPr>
        <w:t>להיתרא</w:t>
      </w:r>
      <w:proofErr w:type="spellEnd"/>
      <w:r w:rsidRPr="000A1BD1">
        <w:rPr>
          <w:rFonts w:cs="David"/>
          <w:sz w:val="22"/>
          <w:szCs w:val="22"/>
          <w:rtl/>
          <w:lang w:eastAsia="he-IL"/>
        </w:rPr>
        <w:t>. אמנם אין היתר זה פשוט, שכן אמנם מצינו במשנה הנ"ל, שניתן לתלות להיתר, אך שם מדובר שהכלי שנקנה, מיועד גם להיתר, ואם כן אין זה נחשב לנתינת "מכשול", שהרי הכלי מצד עצמו אינו מיועד דווקא לאיסור (</w:t>
      </w:r>
      <w:proofErr w:type="spellStart"/>
      <w:r w:rsidRPr="000A1BD1">
        <w:rPr>
          <w:rFonts w:cs="David"/>
          <w:sz w:val="22"/>
          <w:szCs w:val="22"/>
          <w:rtl/>
          <w:lang w:eastAsia="he-IL"/>
        </w:rPr>
        <w:t>ריטב"א</w:t>
      </w:r>
      <w:proofErr w:type="spellEnd"/>
      <w:r w:rsidRPr="000A1BD1">
        <w:rPr>
          <w:rFonts w:cs="David"/>
          <w:sz w:val="22"/>
          <w:szCs w:val="22"/>
          <w:rtl/>
          <w:lang w:eastAsia="he-IL"/>
        </w:rPr>
        <w:t xml:space="preserve"> ע"ז </w:t>
      </w:r>
      <w:proofErr w:type="spellStart"/>
      <w:r w:rsidRPr="000A1BD1">
        <w:rPr>
          <w:rFonts w:cs="David"/>
          <w:sz w:val="22"/>
          <w:szCs w:val="22"/>
          <w:rtl/>
          <w:lang w:eastAsia="he-IL"/>
        </w:rPr>
        <w:t>סג</w:t>
      </w:r>
      <w:proofErr w:type="spellEnd"/>
      <w:r w:rsidRPr="000A1BD1">
        <w:rPr>
          <w:rFonts w:cs="David"/>
          <w:sz w:val="22"/>
          <w:szCs w:val="22"/>
          <w:rtl/>
          <w:lang w:eastAsia="he-IL"/>
        </w:rPr>
        <w:t xml:space="preserve"> ע"א), אך סברה זו אינה שייכת לנדון דידן, שכן  בשבת מהווה האתר מכשול, ורק ישנו ספק אם ייכשל בו יהודי אם לאו, ואם כן הוי ככל "</w:t>
      </w:r>
      <w:proofErr w:type="spellStart"/>
      <w:r w:rsidRPr="000A1BD1">
        <w:rPr>
          <w:rFonts w:cs="David"/>
          <w:sz w:val="22"/>
          <w:szCs w:val="22"/>
          <w:rtl/>
          <w:lang w:eastAsia="he-IL"/>
        </w:rPr>
        <w:t>ספיקא</w:t>
      </w:r>
      <w:proofErr w:type="spellEnd"/>
      <w:r w:rsidRPr="000A1BD1">
        <w:rPr>
          <w:rFonts w:cs="David"/>
          <w:sz w:val="22"/>
          <w:szCs w:val="22"/>
          <w:rtl/>
          <w:lang w:eastAsia="he-IL"/>
        </w:rPr>
        <w:t xml:space="preserve"> דאורייתא", </w:t>
      </w:r>
      <w:proofErr w:type="spellStart"/>
      <w:r w:rsidRPr="000A1BD1">
        <w:rPr>
          <w:rFonts w:cs="David"/>
          <w:sz w:val="22"/>
          <w:szCs w:val="22"/>
          <w:rtl/>
          <w:lang w:eastAsia="he-IL"/>
        </w:rPr>
        <w:t>לחומרא</w:t>
      </w:r>
      <w:proofErr w:type="spellEnd"/>
      <w:r w:rsidRPr="000A1BD1">
        <w:rPr>
          <w:rFonts w:cs="David"/>
          <w:sz w:val="22"/>
          <w:szCs w:val="22"/>
          <w:rtl/>
          <w:lang w:eastAsia="he-IL"/>
        </w:rPr>
        <w:t xml:space="preserve"> (כשם שאסור להכשיל אדם בספק איסור, אף שאז רק ספק, אם מכשילו בעבירה).</w:t>
      </w:r>
    </w:p>
    <w:p w14:paraId="5FEA11B8" w14:textId="77777777" w:rsidR="000A1BD1" w:rsidRPr="000A1BD1" w:rsidRDefault="000A1BD1" w:rsidP="000A1BD1">
      <w:pPr>
        <w:ind w:left="142"/>
        <w:rPr>
          <w:rFonts w:cs="David"/>
          <w:sz w:val="22"/>
          <w:szCs w:val="22"/>
          <w:rtl/>
          <w:lang w:eastAsia="he-IL"/>
        </w:rPr>
      </w:pPr>
      <w:r w:rsidRPr="000A1BD1">
        <w:rPr>
          <w:rFonts w:cs="David"/>
          <w:sz w:val="22"/>
          <w:szCs w:val="22"/>
          <w:rtl/>
          <w:lang w:eastAsia="he-IL"/>
        </w:rPr>
        <w:t xml:space="preserve">אמנם </w:t>
      </w:r>
      <w:proofErr w:type="spellStart"/>
      <w:r w:rsidRPr="000A1BD1">
        <w:rPr>
          <w:rFonts w:cs="David"/>
          <w:sz w:val="22"/>
          <w:szCs w:val="22"/>
          <w:rtl/>
          <w:lang w:eastAsia="he-IL"/>
        </w:rPr>
        <w:t>יעויין</w:t>
      </w:r>
      <w:proofErr w:type="spellEnd"/>
      <w:r w:rsidRPr="000A1BD1">
        <w:rPr>
          <w:rFonts w:cs="David"/>
          <w:sz w:val="22"/>
          <w:szCs w:val="22"/>
          <w:rtl/>
          <w:lang w:eastAsia="he-IL"/>
        </w:rPr>
        <w:t xml:space="preserve"> בירושלמי שביעית (פ"ה </w:t>
      </w:r>
      <w:proofErr w:type="spellStart"/>
      <w:r w:rsidRPr="000A1BD1">
        <w:rPr>
          <w:rFonts w:cs="David"/>
          <w:sz w:val="22"/>
          <w:szCs w:val="22"/>
          <w:rtl/>
          <w:lang w:eastAsia="he-IL"/>
        </w:rPr>
        <w:t>ה"ג</w:t>
      </w:r>
      <w:proofErr w:type="spellEnd"/>
      <w:r w:rsidRPr="000A1BD1">
        <w:rPr>
          <w:rFonts w:cs="David"/>
          <w:sz w:val="22"/>
          <w:szCs w:val="22"/>
          <w:rtl/>
          <w:lang w:eastAsia="he-IL"/>
        </w:rPr>
        <w:t xml:space="preserve">) ששאלו שם (על מה שכתבה המשנה שאסור למכור לחשוד), האם מותר למכור ל"סתם" אדם כלים </w:t>
      </w:r>
      <w:proofErr w:type="spellStart"/>
      <w:r w:rsidRPr="000A1BD1">
        <w:rPr>
          <w:rFonts w:cs="David"/>
          <w:sz w:val="22"/>
          <w:szCs w:val="22"/>
          <w:rtl/>
          <w:lang w:eastAsia="he-IL"/>
        </w:rPr>
        <w:t>שיעודם</w:t>
      </w:r>
      <w:proofErr w:type="spellEnd"/>
      <w:r w:rsidRPr="000A1BD1">
        <w:rPr>
          <w:rFonts w:cs="David"/>
          <w:sz w:val="22"/>
          <w:szCs w:val="22"/>
          <w:rtl/>
          <w:lang w:eastAsia="he-IL"/>
        </w:rPr>
        <w:t xml:space="preserve"> למלאכה האסורה בשביעית, </w:t>
      </w:r>
      <w:proofErr w:type="spellStart"/>
      <w:r w:rsidRPr="000A1BD1">
        <w:rPr>
          <w:rFonts w:cs="David"/>
          <w:sz w:val="22"/>
          <w:szCs w:val="22"/>
          <w:rtl/>
          <w:lang w:eastAsia="he-IL"/>
        </w:rPr>
        <w:t>ואמרינן</w:t>
      </w:r>
      <w:proofErr w:type="spellEnd"/>
      <w:r w:rsidRPr="000A1BD1">
        <w:rPr>
          <w:rFonts w:cs="David"/>
          <w:sz w:val="22"/>
          <w:szCs w:val="22"/>
          <w:rtl/>
          <w:lang w:eastAsia="he-IL"/>
        </w:rPr>
        <w:t xml:space="preserve"> שם </w:t>
      </w:r>
      <w:proofErr w:type="spellStart"/>
      <w:r w:rsidRPr="000A1BD1">
        <w:rPr>
          <w:rFonts w:cs="David"/>
          <w:sz w:val="22"/>
          <w:szCs w:val="22"/>
          <w:rtl/>
          <w:lang w:eastAsia="he-IL"/>
        </w:rPr>
        <w:t>דשרי</w:t>
      </w:r>
      <w:proofErr w:type="spellEnd"/>
      <w:r w:rsidRPr="000A1BD1">
        <w:rPr>
          <w:rFonts w:cs="David"/>
          <w:sz w:val="22"/>
          <w:szCs w:val="22"/>
          <w:rtl/>
          <w:lang w:eastAsia="he-IL"/>
        </w:rPr>
        <w:t xml:space="preserve">, </w:t>
      </w:r>
      <w:proofErr w:type="spellStart"/>
      <w:r w:rsidRPr="000A1BD1">
        <w:rPr>
          <w:rFonts w:cs="David"/>
          <w:sz w:val="22"/>
          <w:szCs w:val="22"/>
          <w:rtl/>
          <w:lang w:eastAsia="he-IL"/>
        </w:rPr>
        <w:t>דתלינן</w:t>
      </w:r>
      <w:proofErr w:type="spellEnd"/>
      <w:r w:rsidRPr="000A1BD1">
        <w:rPr>
          <w:rFonts w:cs="David"/>
          <w:sz w:val="22"/>
          <w:szCs w:val="22"/>
          <w:rtl/>
          <w:lang w:eastAsia="he-IL"/>
        </w:rPr>
        <w:t xml:space="preserve"> </w:t>
      </w:r>
      <w:proofErr w:type="spellStart"/>
      <w:r w:rsidRPr="000A1BD1">
        <w:rPr>
          <w:rFonts w:cs="David"/>
          <w:sz w:val="22"/>
          <w:szCs w:val="22"/>
          <w:rtl/>
          <w:lang w:eastAsia="he-IL"/>
        </w:rPr>
        <w:t>להיתרא</w:t>
      </w:r>
      <w:proofErr w:type="spellEnd"/>
      <w:r w:rsidRPr="000A1BD1">
        <w:rPr>
          <w:rFonts w:cs="David"/>
          <w:sz w:val="22"/>
          <w:szCs w:val="22"/>
          <w:rtl/>
          <w:lang w:eastAsia="he-IL"/>
        </w:rPr>
        <w:t xml:space="preserve"> כשם שתלינן </w:t>
      </w:r>
      <w:proofErr w:type="spellStart"/>
      <w:r w:rsidRPr="000A1BD1">
        <w:rPr>
          <w:rFonts w:cs="David"/>
          <w:sz w:val="22"/>
          <w:szCs w:val="22"/>
          <w:rtl/>
          <w:lang w:eastAsia="he-IL"/>
        </w:rPr>
        <w:t>להיתרא</w:t>
      </w:r>
      <w:proofErr w:type="spellEnd"/>
      <w:r w:rsidRPr="000A1BD1">
        <w:rPr>
          <w:rFonts w:cs="David"/>
          <w:sz w:val="22"/>
          <w:szCs w:val="22"/>
          <w:rtl/>
          <w:lang w:eastAsia="he-IL"/>
        </w:rPr>
        <w:t xml:space="preserve"> בכלי שאינו מיועד רק למלאכה האסורה. ואם כן לכאורה הוא הדין בנדון דידן שבו ישנו ספק, אם המשתמש יהיה יהודי, אך </w:t>
      </w:r>
      <w:proofErr w:type="spellStart"/>
      <w:r w:rsidRPr="000A1BD1">
        <w:rPr>
          <w:rFonts w:cs="David"/>
          <w:sz w:val="22"/>
          <w:szCs w:val="22"/>
          <w:rtl/>
          <w:lang w:eastAsia="he-IL"/>
        </w:rPr>
        <w:t>יעויין</w:t>
      </w:r>
      <w:proofErr w:type="spellEnd"/>
      <w:r w:rsidRPr="000A1BD1">
        <w:rPr>
          <w:rFonts w:cs="David"/>
          <w:sz w:val="22"/>
          <w:szCs w:val="22"/>
          <w:rtl/>
          <w:lang w:eastAsia="he-IL"/>
        </w:rPr>
        <w:t xml:space="preserve"> ברמב"ם (הל' שמיטה ויובל פ"ח </w:t>
      </w:r>
      <w:proofErr w:type="spellStart"/>
      <w:r w:rsidRPr="000A1BD1">
        <w:rPr>
          <w:rFonts w:cs="David"/>
          <w:sz w:val="22"/>
          <w:szCs w:val="22"/>
          <w:rtl/>
          <w:lang w:eastAsia="he-IL"/>
        </w:rPr>
        <w:t>ה"ד</w:t>
      </w:r>
      <w:proofErr w:type="spellEnd"/>
      <w:r w:rsidRPr="000A1BD1">
        <w:rPr>
          <w:rFonts w:cs="David"/>
          <w:sz w:val="22"/>
          <w:szCs w:val="22"/>
          <w:rtl/>
          <w:lang w:eastAsia="he-IL"/>
        </w:rPr>
        <w:t xml:space="preserve">) </w:t>
      </w:r>
      <w:proofErr w:type="spellStart"/>
      <w:r w:rsidRPr="000A1BD1">
        <w:rPr>
          <w:rFonts w:cs="David"/>
          <w:sz w:val="22"/>
          <w:szCs w:val="22"/>
          <w:rtl/>
          <w:lang w:eastAsia="he-IL"/>
        </w:rPr>
        <w:t>דמשמע</w:t>
      </w:r>
      <w:proofErr w:type="spellEnd"/>
      <w:r w:rsidRPr="000A1BD1">
        <w:rPr>
          <w:rFonts w:cs="David"/>
          <w:sz w:val="22"/>
          <w:szCs w:val="22"/>
          <w:rtl/>
          <w:lang w:eastAsia="he-IL"/>
        </w:rPr>
        <w:t xml:space="preserve"> שהבין, ושכל כוונת הירושלמי היא לומר, שאין צורך בידיעה שאינו חשוד, אלא </w:t>
      </w:r>
      <w:proofErr w:type="spellStart"/>
      <w:r w:rsidRPr="000A1BD1">
        <w:rPr>
          <w:rFonts w:cs="David"/>
          <w:sz w:val="22"/>
          <w:szCs w:val="22"/>
          <w:rtl/>
          <w:lang w:eastAsia="he-IL"/>
        </w:rPr>
        <w:t>בסתמא</w:t>
      </w:r>
      <w:proofErr w:type="spellEnd"/>
      <w:r w:rsidRPr="000A1BD1">
        <w:rPr>
          <w:rFonts w:cs="David"/>
          <w:sz w:val="22"/>
          <w:szCs w:val="22"/>
          <w:rtl/>
          <w:lang w:eastAsia="he-IL"/>
        </w:rPr>
        <w:t xml:space="preserve"> </w:t>
      </w:r>
      <w:proofErr w:type="spellStart"/>
      <w:r w:rsidRPr="000A1BD1">
        <w:rPr>
          <w:rFonts w:cs="David"/>
          <w:sz w:val="22"/>
          <w:szCs w:val="22"/>
          <w:rtl/>
          <w:lang w:eastAsia="he-IL"/>
        </w:rPr>
        <w:t>אמרינן</w:t>
      </w:r>
      <w:proofErr w:type="spellEnd"/>
      <w:r w:rsidRPr="000A1BD1">
        <w:rPr>
          <w:rFonts w:cs="David"/>
          <w:sz w:val="22"/>
          <w:szCs w:val="22"/>
          <w:rtl/>
          <w:lang w:eastAsia="he-IL"/>
        </w:rPr>
        <w:t xml:space="preserve"> דאינו חשוד, וממילא תלינן </w:t>
      </w:r>
      <w:proofErr w:type="spellStart"/>
      <w:r w:rsidRPr="000A1BD1">
        <w:rPr>
          <w:rFonts w:cs="David"/>
          <w:sz w:val="22"/>
          <w:szCs w:val="22"/>
          <w:rtl/>
          <w:lang w:eastAsia="he-IL"/>
        </w:rPr>
        <w:t>להיתרא</w:t>
      </w:r>
      <w:proofErr w:type="spellEnd"/>
      <w:r w:rsidRPr="000A1BD1">
        <w:rPr>
          <w:rFonts w:cs="David"/>
          <w:sz w:val="22"/>
          <w:szCs w:val="22"/>
          <w:rtl/>
          <w:lang w:eastAsia="he-IL"/>
        </w:rPr>
        <w:t xml:space="preserve"> שלא ישתמש בכלים האלה בשביעית אלא ימתין עד לאחר השביעית.</w:t>
      </w:r>
    </w:p>
    <w:p w14:paraId="31B6A539"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14</w:t>
      </w:r>
      <w:r w:rsidRPr="000A1BD1">
        <w:rPr>
          <w:rFonts w:cs="David"/>
          <w:sz w:val="22"/>
          <w:szCs w:val="22"/>
          <w:rtl/>
          <w:lang w:eastAsia="he-IL"/>
        </w:rPr>
        <w:t xml:space="preserve"> סברה זו הועלתה ע"י הרב הראשי לישראל הרב שלמה גורן לגבי האיסור </w:t>
      </w:r>
      <w:proofErr w:type="spellStart"/>
      <w:r w:rsidRPr="000A1BD1">
        <w:rPr>
          <w:rFonts w:cs="David"/>
          <w:sz w:val="22"/>
          <w:szCs w:val="22"/>
          <w:rtl/>
          <w:lang w:eastAsia="he-IL"/>
        </w:rPr>
        <w:t>דאוריתא</w:t>
      </w:r>
      <w:proofErr w:type="spellEnd"/>
      <w:r w:rsidRPr="000A1BD1">
        <w:rPr>
          <w:rFonts w:cs="David"/>
          <w:sz w:val="22"/>
          <w:szCs w:val="22"/>
          <w:rtl/>
          <w:lang w:eastAsia="he-IL"/>
        </w:rPr>
        <w:t xml:space="preserve"> "לפני עיוור"  ("שנה בשנה" הנ"ל) ועל ידי הרב ישראל רוזן גם לגבי האיסור "מסייע" מדרבנן  (</w:t>
      </w:r>
      <w:proofErr w:type="spellStart"/>
      <w:r w:rsidRPr="000A1BD1">
        <w:rPr>
          <w:rFonts w:cs="David"/>
          <w:sz w:val="22"/>
          <w:szCs w:val="22"/>
          <w:rtl/>
          <w:lang w:eastAsia="he-IL"/>
        </w:rPr>
        <w:t>תחומין</w:t>
      </w:r>
      <w:proofErr w:type="spellEnd"/>
      <w:r w:rsidRPr="000A1BD1">
        <w:rPr>
          <w:rFonts w:cs="David"/>
          <w:sz w:val="22"/>
          <w:szCs w:val="22"/>
          <w:rtl/>
          <w:lang w:eastAsia="he-IL"/>
        </w:rPr>
        <w:t xml:space="preserve"> ז' עמ' 140-139). אולם לפחות לגבי האיסור מדרבנן מוכח במפורש ממשנה מעשר שני (פ"ה מ"א), ומבואר בגמ' בבא קמא (סט  ע"א) שלפחות מדרבנן יש חובה על יוצר המכשול למנוע שיכשלו בו גם כשהוא פאסיבי לחלוטין בשעת העבירה, שהרי המשנה מחייבת את בעל הכרם לציין בשביעית "כרם ערלה ונטע רבעי" כדי שלא יכשלו בו הרבים, אע"פ שבעל הכרם פסיבי לחלוטין.  הרב אורי </w:t>
      </w:r>
      <w:proofErr w:type="spellStart"/>
      <w:r w:rsidRPr="000A1BD1">
        <w:rPr>
          <w:rFonts w:cs="David"/>
          <w:sz w:val="22"/>
          <w:szCs w:val="22"/>
          <w:rtl/>
          <w:lang w:eastAsia="he-IL"/>
        </w:rPr>
        <w:t>דסברג</w:t>
      </w:r>
      <w:proofErr w:type="spellEnd"/>
      <w:r w:rsidRPr="000A1BD1">
        <w:rPr>
          <w:rFonts w:cs="David"/>
          <w:sz w:val="22"/>
          <w:szCs w:val="22"/>
          <w:rtl/>
          <w:lang w:eastAsia="he-IL"/>
        </w:rPr>
        <w:t xml:space="preserve"> (</w:t>
      </w:r>
      <w:proofErr w:type="spellStart"/>
      <w:r w:rsidRPr="000A1BD1">
        <w:rPr>
          <w:rFonts w:cs="David"/>
          <w:sz w:val="22"/>
          <w:szCs w:val="22"/>
          <w:rtl/>
          <w:lang w:eastAsia="he-IL"/>
        </w:rPr>
        <w:t>תחומין</w:t>
      </w:r>
      <w:proofErr w:type="spellEnd"/>
      <w:r w:rsidRPr="000A1BD1">
        <w:rPr>
          <w:rFonts w:cs="David"/>
          <w:sz w:val="22"/>
          <w:szCs w:val="22"/>
          <w:rtl/>
          <w:lang w:eastAsia="he-IL"/>
        </w:rPr>
        <w:t xml:space="preserve"> </w:t>
      </w:r>
      <w:proofErr w:type="spellStart"/>
      <w:r w:rsidRPr="000A1BD1">
        <w:rPr>
          <w:rFonts w:cs="David"/>
          <w:sz w:val="22"/>
          <w:szCs w:val="22"/>
          <w:rtl/>
          <w:lang w:eastAsia="he-IL"/>
        </w:rPr>
        <w:t>יט</w:t>
      </w:r>
      <w:proofErr w:type="spellEnd"/>
      <w:r w:rsidRPr="000A1BD1">
        <w:rPr>
          <w:rFonts w:cs="David"/>
          <w:sz w:val="22"/>
          <w:szCs w:val="22"/>
          <w:rtl/>
          <w:lang w:eastAsia="he-IL"/>
        </w:rPr>
        <w:t xml:space="preserve"> "אי סגירת בנקומט בשבת" עמ' 353)  מחדש שלא שייך איסור מסייע וחובת הפרשה מעבירה, כאשר המכשיל איננו רואה את עובר העבירה בשעת העבירה, מכיוון שלא שייכת </w:t>
      </w:r>
      <w:proofErr w:type="spellStart"/>
      <w:r w:rsidRPr="000A1BD1">
        <w:rPr>
          <w:rFonts w:cs="David"/>
          <w:sz w:val="22"/>
          <w:szCs w:val="22"/>
          <w:rtl/>
          <w:lang w:eastAsia="he-IL"/>
        </w:rPr>
        <w:t>בכהאי</w:t>
      </w:r>
      <w:proofErr w:type="spellEnd"/>
      <w:r w:rsidRPr="000A1BD1">
        <w:rPr>
          <w:rFonts w:cs="David"/>
          <w:sz w:val="22"/>
          <w:szCs w:val="22"/>
          <w:rtl/>
          <w:lang w:eastAsia="he-IL"/>
        </w:rPr>
        <w:t xml:space="preserve"> </w:t>
      </w:r>
      <w:proofErr w:type="spellStart"/>
      <w:r w:rsidRPr="000A1BD1">
        <w:rPr>
          <w:rFonts w:cs="David"/>
          <w:sz w:val="22"/>
          <w:szCs w:val="22"/>
          <w:rtl/>
          <w:lang w:eastAsia="he-IL"/>
        </w:rPr>
        <w:t>גוונא</w:t>
      </w:r>
      <w:proofErr w:type="spellEnd"/>
      <w:r w:rsidRPr="000A1BD1">
        <w:rPr>
          <w:rFonts w:cs="David"/>
          <w:sz w:val="22"/>
          <w:szCs w:val="22"/>
          <w:rtl/>
          <w:lang w:eastAsia="he-IL"/>
        </w:rPr>
        <w:t xml:space="preserve"> חובת הוכחה,  ואולם גם סברה זו נדחית לכאורה מן המשנה הנ"ל. אך עיין ב"עין יצחק" (אבן העזר סי' א </w:t>
      </w:r>
      <w:proofErr w:type="spellStart"/>
      <w:r w:rsidRPr="000A1BD1">
        <w:rPr>
          <w:rFonts w:cs="David"/>
          <w:sz w:val="22"/>
          <w:szCs w:val="22"/>
          <w:rtl/>
          <w:lang w:eastAsia="he-IL"/>
        </w:rPr>
        <w:t>סק"ח</w:t>
      </w:r>
      <w:proofErr w:type="spellEnd"/>
      <w:r w:rsidRPr="000A1BD1">
        <w:rPr>
          <w:rFonts w:cs="David"/>
          <w:sz w:val="22"/>
          <w:szCs w:val="22"/>
          <w:rtl/>
          <w:lang w:eastAsia="he-IL"/>
        </w:rPr>
        <w:t xml:space="preserve">)  המחדש חידוש דומה, שאין חובת </w:t>
      </w:r>
      <w:proofErr w:type="spellStart"/>
      <w:r w:rsidRPr="000A1BD1">
        <w:rPr>
          <w:rFonts w:cs="David"/>
          <w:sz w:val="22"/>
          <w:szCs w:val="22"/>
          <w:rtl/>
          <w:lang w:eastAsia="he-IL"/>
        </w:rPr>
        <w:t>אפרושי</w:t>
      </w:r>
      <w:proofErr w:type="spellEnd"/>
      <w:r w:rsidRPr="000A1BD1">
        <w:rPr>
          <w:rFonts w:cs="David"/>
          <w:sz w:val="22"/>
          <w:szCs w:val="22"/>
          <w:rtl/>
          <w:lang w:eastAsia="he-IL"/>
        </w:rPr>
        <w:t xml:space="preserve"> </w:t>
      </w:r>
      <w:proofErr w:type="spellStart"/>
      <w:r w:rsidRPr="000A1BD1">
        <w:rPr>
          <w:rFonts w:cs="David"/>
          <w:sz w:val="22"/>
          <w:szCs w:val="22"/>
          <w:rtl/>
          <w:lang w:eastAsia="he-IL"/>
        </w:rPr>
        <w:t>מאסורא</w:t>
      </w:r>
      <w:proofErr w:type="spellEnd"/>
      <w:r w:rsidRPr="000A1BD1">
        <w:rPr>
          <w:rFonts w:cs="David"/>
          <w:sz w:val="22"/>
          <w:szCs w:val="22"/>
          <w:rtl/>
          <w:lang w:eastAsia="he-IL"/>
        </w:rPr>
        <w:t xml:space="preserve"> במקום שאין ידוע למכשיל, מי הם המוכשלים, מכיוון שאין דין עריבות על הנסתרות, ואת המשנה הנ"ל תירץ שחובת ציון "ערלה" איננה מטעם "</w:t>
      </w:r>
      <w:proofErr w:type="spellStart"/>
      <w:r w:rsidRPr="000A1BD1">
        <w:rPr>
          <w:rFonts w:cs="David"/>
          <w:sz w:val="22"/>
          <w:szCs w:val="22"/>
          <w:rtl/>
          <w:lang w:eastAsia="he-IL"/>
        </w:rPr>
        <w:t>אפרושי</w:t>
      </w:r>
      <w:proofErr w:type="spellEnd"/>
      <w:r w:rsidRPr="000A1BD1">
        <w:rPr>
          <w:rFonts w:cs="David"/>
          <w:sz w:val="22"/>
          <w:szCs w:val="22"/>
          <w:rtl/>
          <w:lang w:eastAsia="he-IL"/>
        </w:rPr>
        <w:t xml:space="preserve"> </w:t>
      </w:r>
      <w:proofErr w:type="spellStart"/>
      <w:r w:rsidRPr="000A1BD1">
        <w:rPr>
          <w:rFonts w:cs="David"/>
          <w:sz w:val="22"/>
          <w:szCs w:val="22"/>
          <w:rtl/>
          <w:lang w:eastAsia="he-IL"/>
        </w:rPr>
        <w:t>מאיסורא</w:t>
      </w:r>
      <w:proofErr w:type="spellEnd"/>
      <w:r w:rsidRPr="000A1BD1">
        <w:rPr>
          <w:rFonts w:cs="David"/>
          <w:sz w:val="22"/>
          <w:szCs w:val="22"/>
          <w:rtl/>
          <w:lang w:eastAsia="he-IL"/>
        </w:rPr>
        <w:t xml:space="preserve">" אלא מן הטעמים שמביאה </w:t>
      </w:r>
      <w:proofErr w:type="spellStart"/>
      <w:r w:rsidRPr="000A1BD1">
        <w:rPr>
          <w:rFonts w:cs="David"/>
          <w:sz w:val="22"/>
          <w:szCs w:val="22"/>
          <w:rtl/>
          <w:lang w:eastAsia="he-IL"/>
        </w:rPr>
        <w:t>הגמ</w:t>
      </w:r>
      <w:proofErr w:type="spellEnd"/>
      <w:r w:rsidRPr="000A1BD1">
        <w:rPr>
          <w:rFonts w:cs="David"/>
          <w:sz w:val="22"/>
          <w:szCs w:val="22"/>
          <w:rtl/>
          <w:lang w:eastAsia="he-IL"/>
        </w:rPr>
        <w:t>' מועד קטן (ה ע"א) לחיוב ציון קברות.</w:t>
      </w:r>
    </w:p>
    <w:p w14:paraId="46ED4C54"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15</w:t>
      </w:r>
      <w:r w:rsidRPr="000A1BD1">
        <w:rPr>
          <w:rFonts w:cs="David"/>
          <w:sz w:val="22"/>
          <w:szCs w:val="22"/>
          <w:rtl/>
          <w:lang w:eastAsia="he-IL"/>
        </w:rPr>
        <w:t xml:space="preserve"> אמנם נראה שידי חובת </w:t>
      </w:r>
      <w:proofErr w:type="spellStart"/>
      <w:r w:rsidRPr="000A1BD1">
        <w:rPr>
          <w:rFonts w:cs="David"/>
          <w:sz w:val="22"/>
          <w:szCs w:val="22"/>
          <w:rtl/>
          <w:lang w:eastAsia="he-IL"/>
        </w:rPr>
        <w:t>אפרושי</w:t>
      </w:r>
      <w:proofErr w:type="spellEnd"/>
      <w:r w:rsidRPr="000A1BD1">
        <w:rPr>
          <w:rFonts w:cs="David"/>
          <w:sz w:val="22"/>
          <w:szCs w:val="22"/>
          <w:rtl/>
          <w:lang w:eastAsia="he-IL"/>
        </w:rPr>
        <w:t xml:space="preserve"> </w:t>
      </w:r>
      <w:proofErr w:type="spellStart"/>
      <w:r w:rsidRPr="000A1BD1">
        <w:rPr>
          <w:rFonts w:cs="David"/>
          <w:sz w:val="22"/>
          <w:szCs w:val="22"/>
          <w:rtl/>
          <w:lang w:eastAsia="he-IL"/>
        </w:rPr>
        <w:t>מאיסורא</w:t>
      </w:r>
      <w:proofErr w:type="spellEnd"/>
      <w:r w:rsidRPr="000A1BD1">
        <w:rPr>
          <w:rFonts w:cs="David"/>
          <w:sz w:val="22"/>
          <w:szCs w:val="22"/>
          <w:rtl/>
          <w:lang w:eastAsia="he-IL"/>
        </w:rPr>
        <w:t xml:space="preserve"> לא יצאנו לגמרי.</w:t>
      </w:r>
    </w:p>
    <w:p w14:paraId="18961D71" w14:textId="77777777" w:rsidR="000A1BD1" w:rsidRPr="000A1BD1" w:rsidRDefault="000A1BD1" w:rsidP="000A1BD1">
      <w:pPr>
        <w:ind w:left="142" w:hanging="142"/>
        <w:rPr>
          <w:rFonts w:cs="David"/>
          <w:sz w:val="22"/>
          <w:szCs w:val="22"/>
          <w:rtl/>
          <w:lang w:eastAsia="he-IL"/>
        </w:rPr>
      </w:pPr>
      <w:r w:rsidRPr="000A1BD1">
        <w:rPr>
          <w:rFonts w:cs="David"/>
          <w:sz w:val="22"/>
          <w:szCs w:val="22"/>
          <w:vertAlign w:val="superscript"/>
          <w:rtl/>
          <w:lang w:eastAsia="he-IL"/>
        </w:rPr>
        <w:t>16</w:t>
      </w:r>
      <w:r w:rsidRPr="000A1BD1">
        <w:rPr>
          <w:rFonts w:cs="David"/>
          <w:sz w:val="22"/>
          <w:szCs w:val="22"/>
          <w:rtl/>
          <w:lang w:eastAsia="he-IL"/>
        </w:rPr>
        <w:t xml:space="preserve"> כך סבור </w:t>
      </w:r>
      <w:proofErr w:type="spellStart"/>
      <w:r w:rsidRPr="000A1BD1">
        <w:rPr>
          <w:rFonts w:cs="David"/>
          <w:sz w:val="22"/>
          <w:szCs w:val="22"/>
          <w:rtl/>
          <w:lang w:eastAsia="he-IL"/>
        </w:rPr>
        <w:t>מהרי"ל</w:t>
      </w:r>
      <w:proofErr w:type="spellEnd"/>
      <w:r w:rsidRPr="000A1BD1">
        <w:rPr>
          <w:rFonts w:cs="David"/>
          <w:sz w:val="22"/>
          <w:szCs w:val="22"/>
          <w:rtl/>
          <w:lang w:eastAsia="he-IL"/>
        </w:rPr>
        <w:t xml:space="preserve"> דיסקין (קנ"א סי' קמה) אף לגבי איסור דאורייתא של "לפני עיור".  </w:t>
      </w:r>
      <w:proofErr w:type="spellStart"/>
      <w:r w:rsidRPr="000A1BD1">
        <w:rPr>
          <w:rFonts w:cs="David"/>
          <w:sz w:val="22"/>
          <w:szCs w:val="22"/>
          <w:rtl/>
          <w:lang w:eastAsia="he-IL"/>
        </w:rPr>
        <w:t>ובשו"ת</w:t>
      </w:r>
      <w:proofErr w:type="spellEnd"/>
      <w:r w:rsidRPr="000A1BD1">
        <w:rPr>
          <w:rFonts w:cs="David"/>
          <w:sz w:val="22"/>
          <w:szCs w:val="22"/>
          <w:rtl/>
          <w:lang w:eastAsia="he-IL"/>
        </w:rPr>
        <w:t xml:space="preserve"> "עצי חיים" (ח"ד סי' ה) חולק עליו במקום שיש לאו </w:t>
      </w:r>
      <w:proofErr w:type="spellStart"/>
      <w:r w:rsidRPr="000A1BD1">
        <w:rPr>
          <w:rFonts w:cs="David"/>
          <w:sz w:val="22"/>
          <w:szCs w:val="22"/>
          <w:rtl/>
          <w:lang w:eastAsia="he-IL"/>
        </w:rPr>
        <w:t>מדאוריתא</w:t>
      </w:r>
      <w:proofErr w:type="spellEnd"/>
      <w:r w:rsidRPr="000A1BD1">
        <w:rPr>
          <w:rFonts w:cs="David"/>
          <w:sz w:val="22"/>
          <w:szCs w:val="22"/>
          <w:rtl/>
          <w:lang w:eastAsia="he-IL"/>
        </w:rPr>
        <w:t>, ומודה לו במקום שישנו רק איסור מסייע מדרבנן.</w:t>
      </w:r>
      <w:r w:rsidRPr="000A1BD1">
        <w:rPr>
          <w:rFonts w:cs="David" w:hint="cs"/>
          <w:sz w:val="22"/>
          <w:szCs w:val="22"/>
          <w:rtl/>
          <w:lang w:eastAsia="he-IL"/>
        </w:rPr>
        <w:t xml:space="preserve">  </w:t>
      </w:r>
    </w:p>
    <w:p w14:paraId="51F4333E" w14:textId="77777777" w:rsidR="000A1BD1" w:rsidRPr="000A1BD1" w:rsidRDefault="000A1BD1" w:rsidP="000A1BD1">
      <w:pPr>
        <w:rPr>
          <w:rFonts w:cs="David"/>
          <w:sz w:val="22"/>
          <w:szCs w:val="22"/>
          <w:rtl/>
          <w:lang w:eastAsia="he-IL"/>
        </w:rPr>
      </w:pPr>
    </w:p>
    <w:p w14:paraId="205EBE66" w14:textId="77777777" w:rsidR="000A1BD1" w:rsidRPr="000A1BD1" w:rsidRDefault="000A1BD1" w:rsidP="000A1BD1">
      <w:pPr>
        <w:rPr>
          <w:rFonts w:cs="David"/>
          <w:sz w:val="22"/>
          <w:szCs w:val="22"/>
          <w:rtl/>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784ABD1E" w14:textId="0E99A874"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7A904A96"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61C44030" w14:textId="0CAEDEE5" w:rsidR="002E4F14" w:rsidRDefault="00D56285" w:rsidP="00B353AA">
      <w:pPr>
        <w:contextualSpacing/>
        <w:jc w:val="center"/>
        <w:rPr>
          <w:rFonts w:cs="David"/>
          <w:b/>
          <w:bCs/>
          <w:color w:val="002060"/>
          <w:u w:val="single"/>
          <w:rtl/>
          <w:lang w:eastAsia="he-IL"/>
        </w:rPr>
      </w:pPr>
      <w:hyperlink r:id="rId21"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9A12E61"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2" w:history="1">
        <w:r w:rsidRPr="00DD6714">
          <w:rPr>
            <w:color w:val="0070C0"/>
          </w:rPr>
          <w:t>info@eretzhemdah.org</w:t>
        </w:r>
      </w:hyperlink>
    </w:p>
    <w:p w14:paraId="4B6D66E3" w14:textId="16FF94F7" w:rsidR="00CF1866" w:rsidRDefault="003A70F2" w:rsidP="00622215">
      <w:pPr>
        <w:contextualSpacing/>
        <w:rPr>
          <w:color w:val="0070C0"/>
          <w:rtl/>
        </w:rPr>
      </w:pPr>
      <w:r w:rsidRPr="003B597C">
        <w:rPr>
          <w:rStyle w:val="1c"/>
          <w:b/>
          <w:bCs/>
          <w:noProof/>
          <w:color w:val="0070C0"/>
          <w:sz w:val="23"/>
          <w:szCs w:val="23"/>
        </w:rPr>
        <w:drawing>
          <wp:anchor distT="0" distB="0" distL="114300" distR="114300" simplePos="0" relativeHeight="252027904" behindDoc="1" locked="0" layoutInCell="1" allowOverlap="1" wp14:anchorId="5038D856" wp14:editId="0E8F4B3F">
            <wp:simplePos x="0" y="0"/>
            <wp:positionH relativeFrom="margin">
              <wp:posOffset>835660</wp:posOffset>
            </wp:positionH>
            <wp:positionV relativeFrom="paragraph">
              <wp:posOffset>50165</wp:posOffset>
            </wp:positionV>
            <wp:extent cx="5269230" cy="936625"/>
            <wp:effectExtent l="0" t="0" r="762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269230" cy="936625"/>
                    </a:xfrm>
                    <a:prstGeom prst="rect">
                      <a:avLst/>
                    </a:prstGeom>
                  </pic:spPr>
                </pic:pic>
              </a:graphicData>
            </a:graphic>
            <wp14:sizeRelH relativeFrom="page">
              <wp14:pctWidth>0</wp14:pctWidth>
            </wp14:sizeRelH>
            <wp14:sizeRelV relativeFrom="page">
              <wp14:pctHeight>0</wp14:pctHeight>
            </wp14:sizeRelV>
          </wp:anchor>
        </w:drawing>
      </w:r>
    </w:p>
    <w:p w14:paraId="134AACD4" w14:textId="216B9846" w:rsidR="00386C2D" w:rsidRDefault="00386C2D" w:rsidP="00386C2D">
      <w:pPr>
        <w:contextualSpacing/>
        <w:rPr>
          <w:color w:val="0070C0"/>
          <w:rtl/>
        </w:rPr>
      </w:pPr>
    </w:p>
    <w:p w14:paraId="30BF7FE9" w14:textId="1BA9873C" w:rsidR="00386C2D" w:rsidRDefault="00386C2D" w:rsidP="00386C2D">
      <w:pPr>
        <w:contextualSpacing/>
        <w:rPr>
          <w:color w:val="0070C0"/>
          <w:rtl/>
        </w:rPr>
      </w:pPr>
    </w:p>
    <w:p w14:paraId="777376F6" w14:textId="6A840AFB" w:rsidR="00386C2D" w:rsidRDefault="00386C2D" w:rsidP="00386C2D">
      <w:pPr>
        <w:contextualSpacing/>
        <w:rPr>
          <w:color w:val="0070C0"/>
          <w:rtl/>
        </w:rPr>
      </w:pPr>
    </w:p>
    <w:sectPr w:rsidR="00386C2D"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5588F15" w:rsidR="003056AF" w:rsidRPr="00FA505B" w:rsidRDefault="0023187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אמור</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26"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7"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27"/>
  </w:num>
  <w:num w:numId="4">
    <w:abstractNumId w:val="1"/>
  </w:num>
  <w:num w:numId="5">
    <w:abstractNumId w:val="14"/>
  </w:num>
  <w:num w:numId="6">
    <w:abstractNumId w:val="19"/>
  </w:num>
  <w:num w:numId="7">
    <w:abstractNumId w:val="17"/>
  </w:num>
  <w:num w:numId="8">
    <w:abstractNumId w:val="5"/>
  </w:num>
  <w:num w:numId="9">
    <w:abstractNumId w:val="21"/>
  </w:num>
  <w:num w:numId="10">
    <w:abstractNumId w:val="23"/>
  </w:num>
  <w:num w:numId="11">
    <w:abstractNumId w:val="4"/>
  </w:num>
  <w:num w:numId="12">
    <w:abstractNumId w:val="24"/>
  </w:num>
  <w:num w:numId="13">
    <w:abstractNumId w:val="12"/>
  </w:num>
  <w:num w:numId="14">
    <w:abstractNumId w:val="26"/>
  </w:num>
  <w:num w:numId="15">
    <w:abstractNumId w:val="16"/>
  </w:num>
  <w:num w:numId="16">
    <w:abstractNumId w:val="3"/>
  </w:num>
  <w:num w:numId="17">
    <w:abstractNumId w:val="28"/>
  </w:num>
  <w:num w:numId="18">
    <w:abstractNumId w:val="10"/>
  </w:num>
  <w:num w:numId="19">
    <w:abstractNumId w:val="15"/>
  </w:num>
  <w:num w:numId="20">
    <w:abstractNumId w:val="20"/>
  </w:num>
  <w:num w:numId="21">
    <w:abstractNumId w:val="18"/>
  </w:num>
  <w:num w:numId="22">
    <w:abstractNumId w:val="30"/>
  </w:num>
  <w:num w:numId="23">
    <w:abstractNumId w:val="22"/>
  </w:num>
  <w:num w:numId="24">
    <w:abstractNumId w:val="13"/>
  </w:num>
  <w:num w:numId="25">
    <w:abstractNumId w:val="29"/>
  </w:num>
  <w:num w:numId="26">
    <w:abstractNumId w:val="2"/>
  </w:num>
  <w:num w:numId="27">
    <w:abstractNumId w:val="6"/>
  </w:num>
  <w:num w:numId="28">
    <w:abstractNumId w:val="9"/>
  </w:num>
  <w:num w:numId="29">
    <w:abstractNumId w:val="25"/>
  </w:num>
  <w:num w:numId="3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channel/UCaz-8x6OyQh81Wf0wEYlksg" TargetMode="External"/><Relationship Id="rId18" Type="http://schemas.openxmlformats.org/officeDocument/2006/relationships/hyperlink" Target="https://www.eretzhemdah.org/content.asp?PageId=8&amp;lang=h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hyperlink" Target="https://eretzhemdah.org/newsletterArticle.asp?lang=he&amp;pageid=48&amp;cat=1&amp;newsletter=752&amp;article=2834" TargetMode="External"/><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RETZHEMDAH.ORG"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asp?lang=he&amp;pageid=48&amp;cat=1&amp;newsletter=522&amp;article=195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mailto:info@eretzhemdah.or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3443</Words>
  <Characters>17220</Characters>
  <Application>Microsoft Office Word</Application>
  <DocSecurity>0</DocSecurity>
  <Lines>143</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2025-01-30T11:17:00Z</cp:lastPrinted>
  <dcterms:created xsi:type="dcterms:W3CDTF">2025-05-13T11:05:00Z</dcterms:created>
  <dcterms:modified xsi:type="dcterms:W3CDTF">2025-05-15T13:19:00Z</dcterms:modified>
</cp:coreProperties>
</file>