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2B4B02">
            <w:pPr>
              <w:pStyle w:val="1f0"/>
              <w:tabs>
                <w:tab w:val="left" w:pos="3422"/>
                <w:tab w:val="left" w:pos="6475"/>
              </w:tabs>
              <w:bidi w:val="0"/>
              <w:spacing w:after="0" w:line="240" w:lineRule="auto"/>
              <w:rPr>
                <w:szCs w:val="20"/>
                <w:highlight w:val="yellow"/>
                <w:rtl/>
              </w:rPr>
            </w:pPr>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11B5DCF8" w:rsidR="000D44A9" w:rsidRDefault="00F46468" w:rsidP="002B4B02">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proofErr w:type="spellStart"/>
            <w:r w:rsidR="00CE7566">
              <w:rPr>
                <w:b/>
                <w:bCs/>
                <w:color w:val="D85640"/>
                <w:sz w:val="28"/>
                <w:szCs w:val="28"/>
              </w:rPr>
              <w:t>Shelach</w:t>
            </w:r>
            <w:proofErr w:type="spellEnd"/>
            <w:r w:rsidR="00563D69" w:rsidRPr="00E57AA2">
              <w:rPr>
                <w:b/>
                <w:bCs/>
                <w:color w:val="D85640"/>
                <w:sz w:val="32"/>
                <w:szCs w:val="32"/>
              </w:rPr>
              <w:t>,</w:t>
            </w:r>
            <w:r w:rsidR="00DB429E" w:rsidRPr="00E57AA2">
              <w:rPr>
                <w:b/>
                <w:bCs/>
                <w:color w:val="D85640"/>
                <w:sz w:val="32"/>
                <w:szCs w:val="32"/>
              </w:rPr>
              <w:t xml:space="preserve"> </w:t>
            </w:r>
            <w:r w:rsidR="00423C8E" w:rsidRPr="00E57AA2">
              <w:rPr>
                <w:b/>
                <w:bCs/>
                <w:color w:val="D85640"/>
                <w:sz w:val="24"/>
                <w:szCs w:val="24"/>
              </w:rPr>
              <w:t xml:space="preserve">Sivan </w:t>
            </w:r>
            <w:r w:rsidR="00CE7566">
              <w:rPr>
                <w:b/>
                <w:bCs/>
                <w:color w:val="D85640"/>
                <w:sz w:val="24"/>
                <w:szCs w:val="24"/>
              </w:rPr>
              <w:t>25</w:t>
            </w:r>
            <w:r w:rsidR="00583358" w:rsidRPr="00E57AA2">
              <w:rPr>
                <w:b/>
                <w:bCs/>
                <w:color w:val="D85640"/>
                <w:sz w:val="24"/>
                <w:szCs w:val="24"/>
              </w:rPr>
              <w:t>,</w:t>
            </w:r>
            <w:r w:rsidR="00433BBA" w:rsidRPr="00E57AA2">
              <w:rPr>
                <w:b/>
                <w:bCs/>
                <w:color w:val="D85640"/>
                <w:sz w:val="24"/>
                <w:szCs w:val="24"/>
              </w:rPr>
              <w:t xml:space="preserve"> </w:t>
            </w:r>
            <w:r w:rsidR="00563D69" w:rsidRPr="00E57AA2">
              <w:rPr>
                <w:b/>
                <w:bCs/>
                <w:color w:val="D85640"/>
                <w:sz w:val="24"/>
                <w:szCs w:val="24"/>
              </w:rPr>
              <w:t>5</w:t>
            </w:r>
            <w:r w:rsidR="003B66DD" w:rsidRPr="00E57AA2">
              <w:rPr>
                <w:b/>
                <w:bCs/>
                <w:color w:val="D85640"/>
                <w:sz w:val="24"/>
                <w:szCs w:val="24"/>
              </w:rPr>
              <w:t>78</w:t>
            </w:r>
            <w:r w:rsidR="006F36D7" w:rsidRPr="00E57AA2">
              <w:rPr>
                <w:b/>
                <w:bCs/>
                <w:color w:val="D85640"/>
                <w:sz w:val="24"/>
                <w:szCs w:val="24"/>
              </w:rPr>
              <w:t>5</w:t>
            </w:r>
            <w:r w:rsidR="00E32E36" w:rsidRPr="00E57AA2">
              <w:rPr>
                <w:b/>
                <w:bCs/>
                <w:color w:val="D85640"/>
                <w:sz w:val="24"/>
                <w:szCs w:val="24"/>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7DA16248" w14:textId="66ED3101" w:rsidR="00DE33DA" w:rsidRPr="001834E1" w:rsidRDefault="00DE33DA" w:rsidP="00DE33DA">
            <w:pPr>
              <w:jc w:val="center"/>
              <w:rPr>
                <w:i/>
                <w:iCs/>
                <w:color w:val="002060"/>
                <w:sz w:val="28"/>
                <w:szCs w:val="28"/>
              </w:rPr>
            </w:pPr>
            <w:r>
              <w:rPr>
                <w:b/>
                <w:bCs/>
                <w:color w:val="002060"/>
                <w:sz w:val="28"/>
                <w:szCs w:val="28"/>
              </w:rPr>
              <w:t>A Nation Like a Lion Will Rise Up</w:t>
            </w:r>
            <w:r w:rsidR="00516B1A">
              <w:rPr>
                <w:b/>
                <w:bCs/>
                <w:color w:val="002060"/>
                <w:sz w:val="28"/>
                <w:szCs w:val="28"/>
              </w:rPr>
              <w:t xml:space="preserve"> – Am </w:t>
            </w:r>
            <w:proofErr w:type="spellStart"/>
            <w:r w:rsidR="00516B1A">
              <w:rPr>
                <w:b/>
                <w:bCs/>
                <w:color w:val="002060"/>
                <w:sz w:val="28"/>
                <w:szCs w:val="28"/>
              </w:rPr>
              <w:t>KiLavi</w:t>
            </w:r>
            <w:proofErr w:type="spellEnd"/>
            <w:r w:rsidR="00516B1A">
              <w:rPr>
                <w:b/>
                <w:bCs/>
                <w:color w:val="002060"/>
                <w:sz w:val="28"/>
                <w:szCs w:val="28"/>
              </w:rPr>
              <w:t xml:space="preserve"> </w:t>
            </w:r>
            <w:proofErr w:type="spellStart"/>
            <w:r w:rsidR="00516B1A">
              <w:rPr>
                <w:b/>
                <w:bCs/>
                <w:color w:val="002060"/>
                <w:sz w:val="28"/>
                <w:szCs w:val="28"/>
              </w:rPr>
              <w:t>Yakum</w:t>
            </w:r>
            <w:proofErr w:type="spellEnd"/>
          </w:p>
          <w:p w14:paraId="3344658F" w14:textId="77777777" w:rsidR="00DE33DA" w:rsidRPr="001834E1" w:rsidRDefault="00DE33DA" w:rsidP="00DE33DA">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29FFF283" w14:textId="77777777" w:rsidR="00DE33DA" w:rsidRDefault="00DE33DA" w:rsidP="00DE33DA">
      <w:pPr>
        <w:bidi w:val="0"/>
        <w:ind w:firstLine="426"/>
      </w:pPr>
      <w:bookmarkStart w:id="0" w:name="_Hlk193982934"/>
      <w:r>
        <w:t xml:space="preserve">The formation of an independent Jewish state is closely related to </w:t>
      </w:r>
      <w:proofErr w:type="spellStart"/>
      <w:r>
        <w:rPr>
          <w:i/>
          <w:iCs/>
        </w:rPr>
        <w:t>Parashat</w:t>
      </w:r>
      <w:proofErr w:type="spellEnd"/>
      <w:r>
        <w:rPr>
          <w:i/>
          <w:iCs/>
        </w:rPr>
        <w:t xml:space="preserve"> </w:t>
      </w:r>
      <w:proofErr w:type="spellStart"/>
      <w:r>
        <w:rPr>
          <w:i/>
          <w:iCs/>
        </w:rPr>
        <w:t>Shelach</w:t>
      </w:r>
      <w:proofErr w:type="spellEnd"/>
      <w:r>
        <w:t xml:space="preserve">. This required conquering the Land. All of the nation’s tribes were to take part in the war of </w:t>
      </w:r>
      <w:r>
        <w:rPr>
          <w:i/>
          <w:iCs/>
        </w:rPr>
        <w:t>mitzva</w:t>
      </w:r>
      <w:r>
        <w:t>.</w:t>
      </w:r>
    </w:p>
    <w:p w14:paraId="5B07534B" w14:textId="77777777" w:rsidR="00DE33DA" w:rsidRDefault="00DE33DA" w:rsidP="00DE33DA">
      <w:pPr>
        <w:bidi w:val="0"/>
        <w:ind w:firstLine="426"/>
      </w:pPr>
      <w:r>
        <w:t xml:space="preserve">David carried this out in practice. He created a united Jewish state, liberated Jerusalem, and protected its borders. </w:t>
      </w:r>
      <w:proofErr w:type="spellStart"/>
      <w:r>
        <w:t>Shlomo</w:t>
      </w:r>
      <w:proofErr w:type="spellEnd"/>
      <w:r>
        <w:t xml:space="preserve"> worked on the next step – world peace, with the morality of all peoples. He invited the nations to take part in service and prayer in the Holy Temple he built. The prophecy of joint world service of Hashem that appears in Yeshayahu and Micha was to have taken place already in </w:t>
      </w:r>
      <w:proofErr w:type="spellStart"/>
      <w:r>
        <w:t>Shlomo’s</w:t>
      </w:r>
      <w:proofErr w:type="spellEnd"/>
      <w:r>
        <w:t xml:space="preserve"> time, but he was unsuccessful, and the dream was delayed.</w:t>
      </w:r>
    </w:p>
    <w:p w14:paraId="43135DEE" w14:textId="77777777" w:rsidR="00DE33DA" w:rsidRDefault="00DE33DA" w:rsidP="00DE33DA">
      <w:pPr>
        <w:bidi w:val="0"/>
        <w:ind w:firstLine="426"/>
      </w:pPr>
      <w:r>
        <w:t xml:space="preserve">The sectarianism of the First Temple period and the internal hatred of the Second Temple period delayed the coming of the End of Days. However, this period began when the students of the Vilna Gaon started moving to </w:t>
      </w:r>
      <w:r>
        <w:rPr>
          <w:i/>
          <w:iCs/>
        </w:rPr>
        <w:t xml:space="preserve">Eretz Yisrael </w:t>
      </w:r>
      <w:r w:rsidRPr="008E5B4A">
        <w:t>over</w:t>
      </w:r>
      <w:r>
        <w:rPr>
          <w:i/>
          <w:iCs/>
        </w:rPr>
        <w:t xml:space="preserve"> </w:t>
      </w:r>
      <w:r>
        <w:t xml:space="preserve">200 years ago. The Gaon taught that human efforts were needed to merit divine assistance in this direction, which would occur a little at a time, on the long road to building the Land. This includes building a Torah center in </w:t>
      </w:r>
      <w:proofErr w:type="spellStart"/>
      <w:r>
        <w:t>Yerushalayim</w:t>
      </w:r>
      <w:proofErr w:type="spellEnd"/>
      <w:r>
        <w:t xml:space="preserve">, and then a Jewish state with an army, etc. This would provide the basis for Hashem’s blessing to take effect. At first, the Jewish army is tasked with fighting Israel’s enemies, as David’s troops did. The second stage is to fulfill </w:t>
      </w:r>
      <w:proofErr w:type="spellStart"/>
      <w:r>
        <w:t>Tzefania’s</w:t>
      </w:r>
      <w:proofErr w:type="spellEnd"/>
      <w:r>
        <w:t xml:space="preserve"> prophecy (3:9) that all the nations will adopt clear speech to “call out in Hashem’s Name and serve Him with one shoulder.”</w:t>
      </w:r>
    </w:p>
    <w:p w14:paraId="59074CB3" w14:textId="77777777" w:rsidR="00DE33DA" w:rsidRDefault="00DE33DA" w:rsidP="00DE33DA">
      <w:pPr>
        <w:bidi w:val="0"/>
        <w:ind w:firstLine="426"/>
      </w:pPr>
      <w:r>
        <w:t xml:space="preserve">The Rambam focuses on the prophecy of </w:t>
      </w:r>
      <w:proofErr w:type="spellStart"/>
      <w:r>
        <w:t>Bilam</w:t>
      </w:r>
      <w:proofErr w:type="spellEnd"/>
      <w:r>
        <w:t xml:space="preserve"> that Hashem will subdue certain nations and continues “It is a nation ‘like a lion shall rise up,” describing the ferociousness of the lion in battle. This prophecy ends with “your [Israel’s] blessers shall be blessed (</w:t>
      </w:r>
      <w:proofErr w:type="spellStart"/>
      <w:r>
        <w:t>Bamidbar</w:t>
      </w:r>
      <w:proofErr w:type="spellEnd"/>
      <w:r>
        <w:t xml:space="preserve"> 23:9).” This is part of the idea of the </w:t>
      </w:r>
      <w:proofErr w:type="spellStart"/>
      <w:r>
        <w:t>nations</w:t>
      </w:r>
      <w:proofErr w:type="spellEnd"/>
      <w:r>
        <w:t xml:space="preserve"> joining the axis of “charity and justice,” as opposed to the </w:t>
      </w:r>
      <w:proofErr w:type="spellStart"/>
      <w:r>
        <w:rPr>
          <w:i/>
          <w:iCs/>
        </w:rPr>
        <w:t>pasuk</w:t>
      </w:r>
      <w:r w:rsidRPr="00F15C54">
        <w:t>’s</w:t>
      </w:r>
      <w:proofErr w:type="spellEnd"/>
      <w:r>
        <w:t xml:space="preserve"> other axis – “those who curse you shall be cursed” – in line with the same promise made to Avraham (</w:t>
      </w:r>
      <w:proofErr w:type="spellStart"/>
      <w:r>
        <w:t>Bereishit</w:t>
      </w:r>
      <w:proofErr w:type="spellEnd"/>
      <w:r>
        <w:t xml:space="preserve"> 12:3). </w:t>
      </w:r>
    </w:p>
    <w:p w14:paraId="081655AF" w14:textId="77777777" w:rsidR="00DE33DA" w:rsidRDefault="00DE33DA" w:rsidP="00DE33DA">
      <w:pPr>
        <w:bidi w:val="0"/>
        <w:ind w:firstLine="426"/>
      </w:pPr>
      <w:r>
        <w:t xml:space="preserve">The State of Israel specifically and the whole world generally are in the midst of a very special time period. The Middle East is changing; one evil regime after another is falling or being weakened one. The “ring of fire” intended to burn the Jewish state is burning itself. Hamas is and will continue to be hit until they release the hostages and accept assured dismantlement from all weaponry. It must stop its evil dominion over the people of Gaza, where it does not follow the most basic rules of humanity. All the Arab nations should install judicial systems that are fair to the whole populace. Women should no longer be servants to those who “win them” for their atrocities. </w:t>
      </w:r>
    </w:p>
    <w:p w14:paraId="5BE1C834" w14:textId="77777777" w:rsidR="00DE33DA" w:rsidRDefault="00DE33DA" w:rsidP="00DE33DA">
      <w:pPr>
        <w:bidi w:val="0"/>
        <w:ind w:firstLine="426"/>
      </w:pPr>
      <w:r>
        <w:t xml:space="preserve">Lebanon is becoming a country with one army, as Hezbollah is forced to give up its arms and its evil plans against its neighbors and non-Shiite Lebanese. Syria will join the Abraham Accords. Iran will be freed from its monstrous regime, which afflicts its citizens and from its nuclear and ballistic programs. This will enable the Iranian people to profit from the plenty that will flow into the region because of the Abraham Accords. </w:t>
      </w:r>
    </w:p>
    <w:p w14:paraId="47659E48" w14:textId="3CAD9BD6" w:rsidR="007B7BB1" w:rsidRPr="00CC7326" w:rsidRDefault="00DE33DA" w:rsidP="00DE33DA">
      <w:pPr>
        <w:bidi w:val="0"/>
        <w:ind w:firstLine="360"/>
      </w:pPr>
      <w:r>
        <w:t>All of this will allow the State of Israel to move to the final stage of our nationhood – the days of Hashem’s liberation, in which we serve Him at the head of all the nations. Even as we experience difficult days and nights, we can be strengthened by our belief that if we unite and pitch in together, Hashem will bring will soon come to the whole world in our merit and with the help of our partners, those who bless us.</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61BA1260" w14:textId="09E5A79D" w:rsidR="00133962" w:rsidRPr="00133962" w:rsidRDefault="00D45E0D" w:rsidP="008D683D">
            <w:pPr>
              <w:bidi w:val="0"/>
              <w:jc w:val="both"/>
              <w:rPr>
                <w:b/>
                <w:bCs/>
                <w:sz w:val="10"/>
                <w:szCs w:val="10"/>
                <w:u w:val="single"/>
              </w:rPr>
            </w:pPr>
            <w:bookmarkStart w:id="1" w:name="_Hlk173845240"/>
            <w:bookmarkEnd w:id="0"/>
            <w:r>
              <w:rPr>
                <w:noProof/>
              </w:rPr>
              <w:drawing>
                <wp:anchor distT="0" distB="0" distL="114300" distR="114300" simplePos="0" relativeHeight="251658752" behindDoc="1" locked="0" layoutInCell="1" allowOverlap="1" wp14:anchorId="650FB05C" wp14:editId="2CB7BB9C">
                  <wp:simplePos x="0" y="0"/>
                  <wp:positionH relativeFrom="page">
                    <wp:posOffset>-196850</wp:posOffset>
                  </wp:positionH>
                  <wp:positionV relativeFrom="paragraph">
                    <wp:posOffset>-73025</wp:posOffset>
                  </wp:positionV>
                  <wp:extent cx="7498080" cy="326390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26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CD1DD1" w14:textId="77777777" w:rsidR="00F17B4E" w:rsidRDefault="00F17B4E" w:rsidP="00133962">
            <w:pPr>
              <w:bidi w:val="0"/>
              <w:spacing w:line="360" w:lineRule="auto"/>
              <w:jc w:val="center"/>
              <w:rPr>
                <w:b/>
                <w:bCs/>
                <w:sz w:val="18"/>
                <w:szCs w:val="18"/>
                <w:u w:val="single"/>
              </w:rPr>
            </w:pPr>
          </w:p>
          <w:p w14:paraId="3C9F4C89" w14:textId="77777777" w:rsidR="00133962" w:rsidRDefault="00133962" w:rsidP="00F17B4E">
            <w:pPr>
              <w:bidi w:val="0"/>
              <w:spacing w:line="360" w:lineRule="auto"/>
              <w:jc w:val="center"/>
              <w:rPr>
                <w:b/>
                <w:bCs/>
                <w:sz w:val="18"/>
                <w:szCs w:val="18"/>
                <w:u w:val="single"/>
              </w:rPr>
            </w:pPr>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p w14:paraId="3A5FC79D" w14:textId="0ABF15AC" w:rsidR="00D45E0D" w:rsidRPr="00D45E0D" w:rsidRDefault="00D45E0D" w:rsidP="00D45E0D">
            <w:pPr>
              <w:bidi w:val="0"/>
              <w:spacing w:line="360" w:lineRule="auto"/>
              <w:jc w:val="center"/>
              <w:rPr>
                <w:b/>
                <w:bCs/>
                <w:sz w:val="18"/>
                <w:szCs w:val="18"/>
              </w:rPr>
            </w:pPr>
            <w:proofErr w:type="spellStart"/>
            <w:r w:rsidRPr="00D45E0D">
              <w:rPr>
                <w:b/>
                <w:bCs/>
                <w:sz w:val="18"/>
                <w:szCs w:val="18"/>
              </w:rPr>
              <w:t>Harav</w:t>
            </w:r>
            <w:proofErr w:type="spellEnd"/>
            <w:r w:rsidRPr="00D45E0D">
              <w:rPr>
                <w:b/>
                <w:bCs/>
                <w:sz w:val="18"/>
                <w:szCs w:val="18"/>
              </w:rPr>
              <w:t xml:space="preserve"> Moshe Ehrenreich </w:t>
            </w:r>
            <w:proofErr w:type="spellStart"/>
            <w:r w:rsidRPr="00D45E0D">
              <w:rPr>
                <w:sz w:val="18"/>
                <w:szCs w:val="18"/>
              </w:rPr>
              <w:t>zt"l</w:t>
            </w:r>
            <w:proofErr w:type="spellEnd"/>
            <w:r w:rsidRPr="00D45E0D">
              <w:rPr>
                <w:sz w:val="18"/>
                <w:szCs w:val="18"/>
              </w:rPr>
              <w:t xml:space="preserve"> Nissan 1, 5785</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 xml:space="preserve">Yisrael </w:t>
            </w:r>
            <w:proofErr w:type="spellStart"/>
            <w:r w:rsidRPr="00133962">
              <w:rPr>
                <w:b/>
                <w:bCs/>
                <w:sz w:val="16"/>
                <w:szCs w:val="16"/>
              </w:rPr>
              <w:t>Aharoni</w:t>
            </w:r>
            <w:proofErr w:type="spellEnd"/>
            <w:r w:rsidRPr="00133962">
              <w:rPr>
                <w:sz w:val="16"/>
                <w:szCs w:val="16"/>
              </w:rPr>
              <w:t xml:space="preserve"> </w:t>
            </w:r>
            <w:proofErr w:type="spellStart"/>
            <w:r w:rsidRPr="00133962">
              <w:rPr>
                <w:sz w:val="16"/>
                <w:szCs w:val="16"/>
              </w:rPr>
              <w:t>z"l</w:t>
            </w:r>
            <w:proofErr w:type="spellEnd"/>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77777777"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Elul 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roofErr w:type="gramStart"/>
            <w:r w:rsidRPr="00133962">
              <w:rPr>
                <w:sz w:val="16"/>
                <w:szCs w:val="16"/>
              </w:rPr>
              <w:t>Av  30</w:t>
            </w:r>
            <w:proofErr w:type="gramEnd"/>
            <w:r w:rsidRPr="00133962">
              <w:rPr>
                <w:sz w:val="16"/>
                <w:szCs w:val="16"/>
              </w:rPr>
              <w:t>, 5781</w:t>
            </w:r>
          </w:p>
        </w:tc>
        <w:tc>
          <w:tcPr>
            <w:tcW w:w="4041" w:type="dxa"/>
            <w:gridSpan w:val="7"/>
            <w:tcBorders>
              <w:top w:val="single" w:sz="4" w:space="0" w:color="auto"/>
              <w:bottom w:val="single" w:sz="4" w:space="0" w:color="auto"/>
            </w:tcBorders>
            <w:vAlign w:val="center"/>
          </w:tcPr>
          <w:p w14:paraId="532C6C4F" w14:textId="77777777" w:rsidR="005F2DB5" w:rsidRPr="00133962" w:rsidRDefault="005F2DB5" w:rsidP="00E434C3">
            <w:pPr>
              <w:pStyle w:val="NormalWeb"/>
              <w:spacing w:before="0" w:beforeAutospacing="0" w:after="0" w:afterAutospacing="0"/>
              <w:ind w:left="357" w:right="357"/>
              <w:jc w:val="center"/>
              <w:rPr>
                <w:sz w:val="4"/>
                <w:szCs w:val="4"/>
              </w:rPr>
            </w:pP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p w14:paraId="7C6A919E" w14:textId="77777777" w:rsidR="00457415" w:rsidRPr="00C24E7B" w:rsidRDefault="00457415" w:rsidP="00133962">
            <w:pPr>
              <w:bidi w:val="0"/>
              <w:ind w:left="34" w:right="34"/>
              <w:contextualSpacing/>
              <w:jc w:val="center"/>
              <w:rPr>
                <w:b/>
                <w:bCs/>
                <w:sz w:val="6"/>
                <w:szCs w:val="6"/>
              </w:rPr>
            </w:pPr>
          </w:p>
          <w:p w14:paraId="59428857" w14:textId="64506CCB" w:rsidR="00516A08" w:rsidRPr="00133962" w:rsidRDefault="00516A08" w:rsidP="00457415">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8756046" w14:textId="77777777" w:rsidR="00516A08" w:rsidRPr="00133962" w:rsidRDefault="00516A08" w:rsidP="00133962">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proofErr w:type="gramStart"/>
            <w:r w:rsidRPr="00133962">
              <w:rPr>
                <w:sz w:val="16"/>
                <w:szCs w:val="16"/>
              </w:rPr>
              <w:t>z”l</w:t>
            </w:r>
            <w:proofErr w:type="spellEnd"/>
            <w:proofErr w:type="gramEnd"/>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64B72917" w:rsidR="00133962" w:rsidRPr="00133962" w:rsidRDefault="00133962" w:rsidP="00133962">
            <w:pPr>
              <w:bidi w:val="0"/>
              <w:ind w:left="34"/>
              <w:contextualSpacing/>
              <w:jc w:val="center"/>
              <w:rPr>
                <w:sz w:val="16"/>
                <w:szCs w:val="16"/>
              </w:rPr>
            </w:pPr>
            <w:r w:rsidRPr="00133962">
              <w:rPr>
                <w:b/>
                <w:bCs/>
                <w:sz w:val="18"/>
                <w:szCs w:val="18"/>
              </w:rPr>
              <w:t>Those who fell in wars for our homeland. May Hashem avenge their blood!</w:t>
            </w:r>
          </w:p>
        </w:tc>
      </w:tr>
    </w:tbl>
    <w:p w14:paraId="6DDB4C3A" w14:textId="77777777" w:rsidR="002A65C7" w:rsidRDefault="002A65C7" w:rsidP="002A65C7">
      <w:pPr>
        <w:bidi w:val="0"/>
        <w:ind w:firstLine="426"/>
        <w:jc w:val="center"/>
      </w:pPr>
      <w:bookmarkStart w:id="2" w:name="_Hlk174962969"/>
      <w:bookmarkEnd w:id="1"/>
      <w:bookmarkEnd w:id="2"/>
    </w:p>
    <w:p w14:paraId="72DD81B6" w14:textId="77777777" w:rsidR="00034F59" w:rsidRDefault="00034F59" w:rsidP="00CB2C2F">
      <w:pPr>
        <w:tabs>
          <w:tab w:val="left" w:pos="1803"/>
        </w:tabs>
        <w:bidi w:val="0"/>
      </w:pPr>
    </w:p>
    <w:p w14:paraId="6E474082" w14:textId="3E82A6E6" w:rsidR="00034F59" w:rsidRDefault="00034F59" w:rsidP="00034F59">
      <w:pPr>
        <w:tabs>
          <w:tab w:val="left" w:pos="1803"/>
        </w:tabs>
        <w:bidi w:val="0"/>
      </w:pPr>
      <w:r>
        <w:rPr>
          <w:noProof/>
        </w:rPr>
        <w:lastRenderedPageBreak/>
        <w:drawing>
          <wp:anchor distT="0" distB="0" distL="114300" distR="114300" simplePos="0" relativeHeight="251663872" behindDoc="1" locked="0" layoutInCell="1" allowOverlap="1" wp14:anchorId="3549A025" wp14:editId="463368D8">
            <wp:simplePos x="0" y="0"/>
            <wp:positionH relativeFrom="margin">
              <wp:posOffset>57150</wp:posOffset>
            </wp:positionH>
            <wp:positionV relativeFrom="page">
              <wp:posOffset>678815</wp:posOffset>
            </wp:positionV>
            <wp:extent cx="2584450" cy="359410"/>
            <wp:effectExtent l="0" t="0" r="6350" b="2540"/>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8445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566CF5" w14:textId="77777777" w:rsidR="00034F59" w:rsidRDefault="00034F59" w:rsidP="00034F59">
      <w:pPr>
        <w:tabs>
          <w:tab w:val="left" w:pos="1803"/>
        </w:tabs>
        <w:bidi w:val="0"/>
      </w:pPr>
    </w:p>
    <w:p w14:paraId="3F4BDB08" w14:textId="77777777" w:rsidR="00034F59" w:rsidRDefault="00034F59" w:rsidP="00034F59">
      <w:pPr>
        <w:tabs>
          <w:tab w:val="left" w:pos="1803"/>
        </w:tabs>
        <w:bidi w:val="0"/>
      </w:pPr>
    </w:p>
    <w:p w14:paraId="652402EB" w14:textId="6B9E9F22" w:rsidR="00040676" w:rsidRDefault="00040676" w:rsidP="00034F59">
      <w:pPr>
        <w:tabs>
          <w:tab w:val="left" w:pos="1803"/>
        </w:tabs>
        <w:bidi w:val="0"/>
      </w:pPr>
      <w:r>
        <w:t>by Rav Daniel Mann</w:t>
      </w:r>
    </w:p>
    <w:p w14:paraId="3190E0CA" w14:textId="77777777" w:rsidR="00C658FD" w:rsidRDefault="00C658FD" w:rsidP="00C658FD">
      <w:pPr>
        <w:bidi w:val="0"/>
        <w:rPr>
          <w:b/>
          <w:bCs/>
          <w:color w:val="D85640"/>
          <w:sz w:val="28"/>
          <w:szCs w:val="28"/>
        </w:rPr>
      </w:pPr>
    </w:p>
    <w:p w14:paraId="5E1C2D82" w14:textId="77777777" w:rsidR="00D94FE1" w:rsidRPr="00A36123" w:rsidRDefault="00D94FE1" w:rsidP="00D94FE1">
      <w:pPr>
        <w:bidi w:val="0"/>
        <w:rPr>
          <w:b/>
          <w:bCs/>
          <w:i/>
          <w:iCs/>
        </w:rPr>
      </w:pPr>
      <w:bookmarkStart w:id="3" w:name="_Hlk198287440"/>
      <w:proofErr w:type="spellStart"/>
      <w:r>
        <w:rPr>
          <w:b/>
          <w:bCs/>
          <w:i/>
          <w:iCs/>
          <w:color w:val="D85640"/>
          <w:sz w:val="28"/>
          <w:szCs w:val="28"/>
        </w:rPr>
        <w:t>Beracha</w:t>
      </w:r>
      <w:proofErr w:type="spellEnd"/>
      <w:r>
        <w:rPr>
          <w:b/>
          <w:bCs/>
          <w:color w:val="D85640"/>
          <w:sz w:val="28"/>
          <w:szCs w:val="28"/>
        </w:rPr>
        <w:t xml:space="preserve"> on Mediterranean and Atlantic</w:t>
      </w:r>
      <w:r w:rsidRPr="00A36123">
        <w:rPr>
          <w:b/>
          <w:bCs/>
          <w:i/>
          <w:iCs/>
          <w:color w:val="D85640"/>
          <w:sz w:val="28"/>
          <w:szCs w:val="28"/>
        </w:rPr>
        <w:t xml:space="preserve"> </w:t>
      </w:r>
    </w:p>
    <w:p w14:paraId="7A0ACD15" w14:textId="77777777" w:rsidR="00D94FE1" w:rsidRPr="002822FD" w:rsidRDefault="00D94FE1" w:rsidP="00D94FE1">
      <w:pPr>
        <w:bidi w:val="0"/>
        <w:rPr>
          <w:b/>
          <w:bCs/>
          <w:color w:val="D85640"/>
        </w:rPr>
      </w:pPr>
    </w:p>
    <w:p w14:paraId="0B6A9E4F" w14:textId="77777777" w:rsidR="00D94FE1" w:rsidRPr="00A12A79" w:rsidRDefault="00D94FE1" w:rsidP="00D94FE1">
      <w:pPr>
        <w:shd w:val="clear" w:color="auto" w:fill="FFFFFF"/>
        <w:bidi w:val="0"/>
        <w:jc w:val="both"/>
        <w:rPr>
          <w:color w:val="222222"/>
        </w:rPr>
      </w:pPr>
      <w:r w:rsidRPr="00D94FE1">
        <w:rPr>
          <w:b/>
          <w:bCs/>
          <w:color w:val="D85640"/>
          <w:sz w:val="24"/>
          <w:szCs w:val="24"/>
          <w:u w:val="single"/>
        </w:rPr>
        <w:t>Question</w:t>
      </w:r>
      <w:r w:rsidRPr="00D94FE1">
        <w:rPr>
          <w:b/>
          <w:bCs/>
          <w:color w:val="D85640"/>
          <w:sz w:val="24"/>
          <w:szCs w:val="24"/>
        </w:rPr>
        <w:t>:</w:t>
      </w:r>
      <w:r w:rsidRPr="00D94FE1">
        <w:rPr>
          <w:sz w:val="24"/>
          <w:szCs w:val="24"/>
        </w:rPr>
        <w:t xml:space="preserve"> </w:t>
      </w:r>
      <w:r>
        <w:rPr>
          <w:color w:val="222222"/>
          <w:shd w:val="clear" w:color="auto" w:fill="FFFFFF"/>
        </w:rPr>
        <w:t>When I fly between Israel</w:t>
      </w:r>
      <w:r w:rsidRPr="009E666D">
        <w:rPr>
          <w:color w:val="222222"/>
          <w:shd w:val="clear" w:color="auto" w:fill="FFFFFF"/>
        </w:rPr>
        <w:t xml:space="preserve"> </w:t>
      </w:r>
      <w:r>
        <w:rPr>
          <w:color w:val="222222"/>
          <w:shd w:val="clear" w:color="auto" w:fill="FFFFFF"/>
        </w:rPr>
        <w:t xml:space="preserve">and the US, should I make a </w:t>
      </w:r>
      <w:proofErr w:type="spellStart"/>
      <w:r>
        <w:rPr>
          <w:i/>
          <w:iCs/>
          <w:color w:val="222222"/>
          <w:shd w:val="clear" w:color="auto" w:fill="FFFFFF"/>
        </w:rPr>
        <w:t>beracha</w:t>
      </w:r>
      <w:proofErr w:type="spellEnd"/>
      <w:r>
        <w:rPr>
          <w:color w:val="222222"/>
          <w:shd w:val="clear" w:color="auto" w:fill="FFFFFF"/>
        </w:rPr>
        <w:t xml:space="preserve"> on seeing the Mediterranean and Atlantic. (I grew up near the ocean, and, being scientifically oriented, I do not view the ocean as a wonder.) If so, what </w:t>
      </w:r>
      <w:proofErr w:type="spellStart"/>
      <w:r>
        <w:rPr>
          <w:i/>
          <w:iCs/>
          <w:color w:val="222222"/>
          <w:shd w:val="clear" w:color="auto" w:fill="FFFFFF"/>
        </w:rPr>
        <w:t>beracha</w:t>
      </w:r>
      <w:proofErr w:type="spellEnd"/>
      <w:r>
        <w:rPr>
          <w:i/>
          <w:iCs/>
          <w:color w:val="222222"/>
          <w:shd w:val="clear" w:color="auto" w:fill="FFFFFF"/>
        </w:rPr>
        <w:t>/</w:t>
      </w:r>
      <w:proofErr w:type="spellStart"/>
      <w:r w:rsidRPr="00A36123">
        <w:rPr>
          <w:i/>
          <w:iCs/>
          <w:color w:val="222222"/>
          <w:shd w:val="clear" w:color="auto" w:fill="FFFFFF"/>
        </w:rPr>
        <w:t>ot</w:t>
      </w:r>
      <w:proofErr w:type="spellEnd"/>
      <w:r>
        <w:rPr>
          <w:color w:val="222222"/>
          <w:shd w:val="clear" w:color="auto" w:fill="FFFFFF"/>
        </w:rPr>
        <w:t xml:space="preserve"> should I make?</w:t>
      </w:r>
      <w:bookmarkEnd w:id="3"/>
      <w:r>
        <w:rPr>
          <w:color w:val="222222"/>
          <w:shd w:val="clear" w:color="auto" w:fill="FFFFFF"/>
        </w:rPr>
        <w:t xml:space="preserve"> </w:t>
      </w:r>
    </w:p>
    <w:p w14:paraId="144803F6" w14:textId="77777777" w:rsidR="00D94FE1" w:rsidRPr="002C1B93" w:rsidRDefault="00D94FE1" w:rsidP="00D94FE1">
      <w:pPr>
        <w:bidi w:val="0"/>
      </w:pPr>
    </w:p>
    <w:p w14:paraId="29CC9DE1" w14:textId="77777777" w:rsidR="00D94FE1" w:rsidRDefault="00D94FE1" w:rsidP="00D94FE1">
      <w:pPr>
        <w:bidi w:val="0"/>
        <w:ind w:right="26"/>
        <w:jc w:val="both"/>
      </w:pPr>
      <w:r w:rsidRPr="00D94FE1">
        <w:rPr>
          <w:b/>
          <w:bCs/>
          <w:color w:val="D85640"/>
          <w:sz w:val="24"/>
          <w:szCs w:val="24"/>
          <w:u w:val="single"/>
        </w:rPr>
        <w:t>Answer</w:t>
      </w:r>
      <w:r w:rsidRPr="00D94FE1">
        <w:rPr>
          <w:b/>
          <w:bCs/>
          <w:color w:val="D85640"/>
          <w:sz w:val="24"/>
          <w:szCs w:val="24"/>
        </w:rPr>
        <w:t>:</w:t>
      </w:r>
      <w:r w:rsidRPr="00D94FE1">
        <w:rPr>
          <w:sz w:val="24"/>
          <w:szCs w:val="24"/>
        </w:rPr>
        <w:t xml:space="preserve"> </w:t>
      </w:r>
      <w:r>
        <w:t xml:space="preserve">The </w:t>
      </w:r>
      <w:proofErr w:type="spellStart"/>
      <w:r>
        <w:rPr>
          <w:i/>
          <w:iCs/>
        </w:rPr>
        <w:t>beracha</w:t>
      </w:r>
      <w:proofErr w:type="spellEnd"/>
      <w:r>
        <w:t xml:space="preserve"> on large bodies of water is not about miracles within nature. Rather, it acknowledges Hashem’s creation of impressive, formidable, and/or impactful natural phenomena, for which the vastness of major bodies of water qualify (see also Shulchan </w:t>
      </w:r>
      <w:proofErr w:type="spellStart"/>
      <w:r>
        <w:t>Aruch</w:t>
      </w:r>
      <w:proofErr w:type="spellEnd"/>
      <w:r>
        <w:t xml:space="preserve">, </w:t>
      </w:r>
      <w:proofErr w:type="spellStart"/>
      <w:r>
        <w:t>Orach</w:t>
      </w:r>
      <w:proofErr w:type="spellEnd"/>
      <w:r>
        <w:t xml:space="preserve"> Chayim 219:1). Whether one is personally impressed does not determine whether he makes the </w:t>
      </w:r>
      <w:proofErr w:type="spellStart"/>
      <w:r>
        <w:rPr>
          <w:i/>
          <w:iCs/>
        </w:rPr>
        <w:t>beracha</w:t>
      </w:r>
      <w:proofErr w:type="spellEnd"/>
      <w:r>
        <w:t xml:space="preserve"> (see </w:t>
      </w:r>
      <w:proofErr w:type="spellStart"/>
      <w:r>
        <w:t>Sha’ar</w:t>
      </w:r>
      <w:proofErr w:type="spellEnd"/>
      <w:r>
        <w:t xml:space="preserve"> </w:t>
      </w:r>
      <w:proofErr w:type="spellStart"/>
      <w:r>
        <w:t>Ha’ayin</w:t>
      </w:r>
      <w:proofErr w:type="spellEnd"/>
      <w:r>
        <w:t xml:space="preserve"> p. 420,429). What is required is that one’s encounter with the body of water is new, i.e., he has not seen it in thirty days (</w:t>
      </w:r>
      <w:proofErr w:type="spellStart"/>
      <w:r>
        <w:t>Berachot</w:t>
      </w:r>
      <w:proofErr w:type="spellEnd"/>
      <w:r>
        <w:t xml:space="preserve"> 59b). There is a </w:t>
      </w:r>
      <w:proofErr w:type="spellStart"/>
      <w:r>
        <w:rPr>
          <w:i/>
          <w:iCs/>
        </w:rPr>
        <w:t>machloket</w:t>
      </w:r>
      <w:proofErr w:type="spellEnd"/>
      <w:r>
        <w:t xml:space="preserve"> whether for one who lives near the sea but has not seen it in 30 days, a sighting is considered new, which was relevant when you were a child. Most </w:t>
      </w:r>
      <w:proofErr w:type="spellStart"/>
      <w:r>
        <w:rPr>
          <w:i/>
          <w:iCs/>
        </w:rPr>
        <w:t>poskim</w:t>
      </w:r>
      <w:proofErr w:type="spellEnd"/>
      <w:r>
        <w:t xml:space="preserve"> assume that one makes the </w:t>
      </w:r>
      <w:proofErr w:type="spellStart"/>
      <w:r>
        <w:rPr>
          <w:i/>
          <w:iCs/>
        </w:rPr>
        <w:t>beracha</w:t>
      </w:r>
      <w:proofErr w:type="spellEnd"/>
      <w:r>
        <w:rPr>
          <w:i/>
          <w:iCs/>
        </w:rPr>
        <w:t xml:space="preserve"> </w:t>
      </w:r>
      <w:r>
        <w:t>even when seeing it from a few miles above the water, through glass, as long as it is clearly visible (</w:t>
      </w:r>
      <w:proofErr w:type="spellStart"/>
      <w:r>
        <w:t>B’tzel</w:t>
      </w:r>
      <w:proofErr w:type="spellEnd"/>
      <w:r>
        <w:t xml:space="preserve"> </w:t>
      </w:r>
      <w:proofErr w:type="spellStart"/>
      <w:r>
        <w:t>Hachochma</w:t>
      </w:r>
      <w:proofErr w:type="spellEnd"/>
      <w:r>
        <w:t xml:space="preserve"> II:16). Therefore, while many wonderful Jews do not make the </w:t>
      </w:r>
      <w:proofErr w:type="spellStart"/>
      <w:r>
        <w:rPr>
          <w:i/>
          <w:iCs/>
        </w:rPr>
        <w:t>beracha</w:t>
      </w:r>
      <w:proofErr w:type="spellEnd"/>
      <w:r>
        <w:t xml:space="preserve">, we encourage doing so when applicable. </w:t>
      </w:r>
    </w:p>
    <w:p w14:paraId="29D18C58" w14:textId="77777777" w:rsidR="00D94FE1" w:rsidRDefault="00D94FE1" w:rsidP="00D94FE1">
      <w:pPr>
        <w:bidi w:val="0"/>
        <w:ind w:firstLine="450"/>
        <w:jc w:val="both"/>
      </w:pPr>
      <w:r>
        <w:t xml:space="preserve">The text of the </w:t>
      </w:r>
      <w:proofErr w:type="spellStart"/>
      <w:r>
        <w:rPr>
          <w:i/>
          <w:iCs/>
        </w:rPr>
        <w:t>beracha</w:t>
      </w:r>
      <w:proofErr w:type="spellEnd"/>
      <w:r>
        <w:t xml:space="preserve"> is unclear. The </w:t>
      </w:r>
      <w:proofErr w:type="spellStart"/>
      <w:r>
        <w:rPr>
          <w:i/>
          <w:iCs/>
        </w:rPr>
        <w:t>mishna</w:t>
      </w:r>
      <w:proofErr w:type="spellEnd"/>
      <w:r>
        <w:rPr>
          <w:i/>
          <w:iCs/>
        </w:rPr>
        <w:t xml:space="preserve"> </w:t>
      </w:r>
      <w:r>
        <w:t>(</w:t>
      </w:r>
      <w:proofErr w:type="spellStart"/>
      <w:r>
        <w:t>Berachot</w:t>
      </w:r>
      <w:proofErr w:type="spellEnd"/>
      <w:r>
        <w:t xml:space="preserve"> 54a) lists seas among things that, upon seeing, one should recite “</w:t>
      </w:r>
      <w:r>
        <w:rPr>
          <w:i/>
          <w:iCs/>
        </w:rPr>
        <w:t xml:space="preserve">Baruch … </w:t>
      </w:r>
      <w:proofErr w:type="spellStart"/>
      <w:r>
        <w:rPr>
          <w:i/>
          <w:iCs/>
        </w:rPr>
        <w:t>oseh</w:t>
      </w:r>
      <w:proofErr w:type="spellEnd"/>
      <w:r>
        <w:rPr>
          <w:i/>
          <w:iCs/>
        </w:rPr>
        <w:t xml:space="preserve"> </w:t>
      </w:r>
      <w:proofErr w:type="spellStart"/>
      <w:r>
        <w:rPr>
          <w:i/>
          <w:iCs/>
        </w:rPr>
        <w:t>ma’aseh</w:t>
      </w:r>
      <w:proofErr w:type="spellEnd"/>
      <w:r>
        <w:rPr>
          <w:i/>
          <w:iCs/>
        </w:rPr>
        <w:t xml:space="preserve"> </w:t>
      </w:r>
      <w:proofErr w:type="spellStart"/>
      <w:r>
        <w:rPr>
          <w:i/>
          <w:iCs/>
        </w:rPr>
        <w:t>bereishit</w:t>
      </w:r>
      <w:proofErr w:type="spellEnd"/>
      <w:r>
        <w:t>” (=</w:t>
      </w:r>
      <w:r>
        <w:rPr>
          <w:i/>
          <w:iCs/>
        </w:rPr>
        <w:t>OMB</w:t>
      </w:r>
      <w:r>
        <w:t>) R. Yehuda (ibid.) continues that on “The Great Sea” he recites “</w:t>
      </w:r>
      <w:r>
        <w:rPr>
          <w:i/>
          <w:iCs/>
        </w:rPr>
        <w:t xml:space="preserve">Baruch </w:t>
      </w:r>
      <w:proofErr w:type="spellStart"/>
      <w:r>
        <w:rPr>
          <w:i/>
          <w:iCs/>
        </w:rPr>
        <w:t>she’asa</w:t>
      </w:r>
      <w:proofErr w:type="spellEnd"/>
      <w:r>
        <w:rPr>
          <w:i/>
          <w:iCs/>
        </w:rPr>
        <w:t xml:space="preserve"> et </w:t>
      </w:r>
      <w:proofErr w:type="spellStart"/>
      <w:r>
        <w:rPr>
          <w:i/>
          <w:iCs/>
        </w:rPr>
        <w:t>hayam</w:t>
      </w:r>
      <w:proofErr w:type="spellEnd"/>
      <w:r>
        <w:rPr>
          <w:i/>
          <w:iCs/>
        </w:rPr>
        <w:t xml:space="preserve"> </w:t>
      </w:r>
      <w:proofErr w:type="spellStart"/>
      <w:r>
        <w:rPr>
          <w:i/>
          <w:iCs/>
        </w:rPr>
        <w:t>hagadol</w:t>
      </w:r>
      <w:proofErr w:type="spellEnd"/>
      <w:r>
        <w:t>” (=</w:t>
      </w:r>
      <w:r>
        <w:rPr>
          <w:i/>
          <w:iCs/>
        </w:rPr>
        <w:t>HYHG</w:t>
      </w:r>
      <w:r>
        <w:t>). The Rambam (</w:t>
      </w:r>
      <w:proofErr w:type="spellStart"/>
      <w:r>
        <w:t>Berachot</w:t>
      </w:r>
      <w:proofErr w:type="spellEnd"/>
      <w:r>
        <w:t xml:space="preserve"> 10:15) codifies R. Yehuda’s statement, which surprises some since he seems to be a minority opinion. The </w:t>
      </w:r>
      <w:proofErr w:type="spellStart"/>
      <w:r>
        <w:t>Kesef</w:t>
      </w:r>
      <w:proofErr w:type="spellEnd"/>
      <w:r>
        <w:t xml:space="preserve"> </w:t>
      </w:r>
      <w:proofErr w:type="spellStart"/>
      <w:r>
        <w:t>Mishneh</w:t>
      </w:r>
      <w:proofErr w:type="spellEnd"/>
      <w:r>
        <w:t xml:space="preserve"> (ad loc. 14) provides an indication that the </w:t>
      </w:r>
      <w:proofErr w:type="spellStart"/>
      <w:r>
        <w:rPr>
          <w:i/>
          <w:iCs/>
        </w:rPr>
        <w:t>gemara</w:t>
      </w:r>
      <w:proofErr w:type="spellEnd"/>
      <w:r>
        <w:t xml:space="preserve"> prefers R. Yehuda and also raises the possibility that R. Yehuda came to add, not argue, as all agree on a different </w:t>
      </w:r>
      <w:proofErr w:type="spellStart"/>
      <w:r>
        <w:rPr>
          <w:i/>
          <w:iCs/>
        </w:rPr>
        <w:t>beracha</w:t>
      </w:r>
      <w:proofErr w:type="spellEnd"/>
      <w:r>
        <w:rPr>
          <w:i/>
          <w:iCs/>
        </w:rPr>
        <w:t xml:space="preserve"> </w:t>
      </w:r>
      <w:r>
        <w:t xml:space="preserve">for the “Great Sea” (see Shut </w:t>
      </w:r>
      <w:proofErr w:type="spellStart"/>
      <w:r>
        <w:t>HaRosh</w:t>
      </w:r>
      <w:proofErr w:type="spellEnd"/>
      <w:r>
        <w:t xml:space="preserve"> 4:4). </w:t>
      </w:r>
    </w:p>
    <w:p w14:paraId="6701CA02" w14:textId="77777777" w:rsidR="00D94FE1" w:rsidRDefault="00D94FE1" w:rsidP="00D94FE1">
      <w:pPr>
        <w:bidi w:val="0"/>
        <w:ind w:firstLine="450"/>
        <w:jc w:val="both"/>
      </w:pPr>
      <w:r>
        <w:t xml:space="preserve">What is the </w:t>
      </w:r>
      <w:r>
        <w:rPr>
          <w:i/>
          <w:iCs/>
        </w:rPr>
        <w:t>Yam Hagadol</w:t>
      </w:r>
      <w:r>
        <w:t xml:space="preserve">? The Shulchan </w:t>
      </w:r>
      <w:proofErr w:type="spellStart"/>
      <w:r>
        <w:t>Aruch</w:t>
      </w:r>
      <w:proofErr w:type="spellEnd"/>
      <w:r>
        <w:t xml:space="preserve"> (OC 228:1) assumes that it is the Mediterranean, as the Torah calls it when giving it as a border of </w:t>
      </w:r>
      <w:r>
        <w:rPr>
          <w:i/>
          <w:iCs/>
        </w:rPr>
        <w:t xml:space="preserve">Eretz Yisrael </w:t>
      </w:r>
      <w:r w:rsidRPr="003C279F">
        <w:t>(</w:t>
      </w:r>
      <w:proofErr w:type="spellStart"/>
      <w:r>
        <w:t>Bamidbar</w:t>
      </w:r>
      <w:proofErr w:type="spellEnd"/>
      <w:r>
        <w:t xml:space="preserve"> 34:6). However, there are different texts and readings of the Rosh (ibid.) on this very question, and the </w:t>
      </w:r>
      <w:proofErr w:type="spellStart"/>
      <w:r>
        <w:t>Divrei</w:t>
      </w:r>
      <w:proofErr w:type="spellEnd"/>
      <w:r>
        <w:t xml:space="preserve"> </w:t>
      </w:r>
      <w:proofErr w:type="spellStart"/>
      <w:r>
        <w:t>Chamudot</w:t>
      </w:r>
      <w:proofErr w:type="spellEnd"/>
      <w:r>
        <w:t xml:space="preserve"> on the Rosh (</w:t>
      </w:r>
      <w:proofErr w:type="spellStart"/>
      <w:r>
        <w:t>Berachot</w:t>
      </w:r>
      <w:proofErr w:type="spellEnd"/>
      <w:r>
        <w:t xml:space="preserve"> 9:37) argues that THE great sea is the ocean that “surrounds the whole world” (Atlantic and/or Pacific), whereas the Mediterranean gets the standard </w:t>
      </w:r>
      <w:proofErr w:type="spellStart"/>
      <w:r>
        <w:rPr>
          <w:i/>
          <w:iCs/>
        </w:rPr>
        <w:t>beracha</w:t>
      </w:r>
      <w:proofErr w:type="spellEnd"/>
      <w:r>
        <w:rPr>
          <w:i/>
          <w:iCs/>
        </w:rPr>
        <w:t xml:space="preserve"> </w:t>
      </w:r>
      <w:r>
        <w:t xml:space="preserve">of </w:t>
      </w:r>
      <w:r w:rsidRPr="00205295">
        <w:rPr>
          <w:i/>
          <w:iCs/>
        </w:rPr>
        <w:t>OMB</w:t>
      </w:r>
      <w:r>
        <w:t xml:space="preserve">. Some say that the Mediterranean qualifies because it is connected to the Atlantic and is “fed” by it, and the Knesset </w:t>
      </w:r>
      <w:proofErr w:type="spellStart"/>
      <w:r>
        <w:t>Hagedola</w:t>
      </w:r>
      <w:proofErr w:type="spellEnd"/>
      <w:r>
        <w:t xml:space="preserve"> (Beit Yosef 228:2) says that both deserve </w:t>
      </w:r>
      <w:r>
        <w:rPr>
          <w:i/>
          <w:iCs/>
        </w:rPr>
        <w:t>HYHG</w:t>
      </w:r>
      <w:r>
        <w:t xml:space="preserve">. </w:t>
      </w:r>
    </w:p>
    <w:p w14:paraId="4AAF97DA" w14:textId="77777777" w:rsidR="00D94FE1" w:rsidRDefault="00D94FE1" w:rsidP="00D94FE1">
      <w:pPr>
        <w:bidi w:val="0"/>
        <w:ind w:firstLine="450"/>
        <w:jc w:val="both"/>
      </w:pPr>
      <w:r>
        <w:t xml:space="preserve">There is no consensus on which opinion to accept, but the Mishna </w:t>
      </w:r>
      <w:proofErr w:type="spellStart"/>
      <w:r>
        <w:t>Berura</w:t>
      </w:r>
      <w:proofErr w:type="spellEnd"/>
      <w:r>
        <w:t xml:space="preserve"> (228:2) leans toward </w:t>
      </w:r>
      <w:r>
        <w:rPr>
          <w:i/>
          <w:iCs/>
        </w:rPr>
        <w:t xml:space="preserve">OMB </w:t>
      </w:r>
      <w:r>
        <w:t xml:space="preserve">for the Mediterranean and </w:t>
      </w:r>
      <w:r>
        <w:rPr>
          <w:i/>
          <w:iCs/>
        </w:rPr>
        <w:t>HYHG</w:t>
      </w:r>
      <w:r>
        <w:t xml:space="preserve"> for the Atlantic. He also points out that </w:t>
      </w:r>
      <w:r>
        <w:rPr>
          <w:i/>
          <w:iCs/>
        </w:rPr>
        <w:t xml:space="preserve">OMB </w:t>
      </w:r>
      <w:r>
        <w:t xml:space="preserve">is a more general </w:t>
      </w:r>
      <w:proofErr w:type="spellStart"/>
      <w:r>
        <w:rPr>
          <w:i/>
          <w:iCs/>
        </w:rPr>
        <w:t>beracha</w:t>
      </w:r>
      <w:proofErr w:type="spellEnd"/>
      <w:r>
        <w:rPr>
          <w:i/>
          <w:iCs/>
        </w:rPr>
        <w:t xml:space="preserve"> </w:t>
      </w:r>
      <w:r>
        <w:t xml:space="preserve">(like </w:t>
      </w:r>
      <w:proofErr w:type="spellStart"/>
      <w:r>
        <w:rPr>
          <w:i/>
          <w:iCs/>
        </w:rPr>
        <w:t>Shehakol</w:t>
      </w:r>
      <w:proofErr w:type="spellEnd"/>
      <w:r>
        <w:rPr>
          <w:i/>
          <w:iCs/>
        </w:rPr>
        <w:t xml:space="preserve"> </w:t>
      </w:r>
      <w:r>
        <w:t xml:space="preserve">for foods) and works </w:t>
      </w:r>
      <w:proofErr w:type="spellStart"/>
      <w:r>
        <w:rPr>
          <w:i/>
          <w:iCs/>
        </w:rPr>
        <w:t>b’di’eved</w:t>
      </w:r>
      <w:proofErr w:type="spellEnd"/>
      <w:r>
        <w:rPr>
          <w:i/>
          <w:iCs/>
        </w:rPr>
        <w:t xml:space="preserve"> </w:t>
      </w:r>
      <w:r>
        <w:t xml:space="preserve">even if </w:t>
      </w:r>
      <w:r>
        <w:rPr>
          <w:i/>
          <w:iCs/>
        </w:rPr>
        <w:t>HYHG</w:t>
      </w:r>
      <w:r>
        <w:t xml:space="preserve"> was the correct </w:t>
      </w:r>
      <w:proofErr w:type="spellStart"/>
      <w:r>
        <w:rPr>
          <w:i/>
          <w:iCs/>
        </w:rPr>
        <w:t>beracha</w:t>
      </w:r>
      <w:proofErr w:type="spellEnd"/>
      <w:r>
        <w:rPr>
          <w:i/>
          <w:iCs/>
        </w:rPr>
        <w:t xml:space="preserve"> </w:t>
      </w:r>
      <w:r>
        <w:t>(</w:t>
      </w:r>
      <w:proofErr w:type="spellStart"/>
      <w:r>
        <w:t>Be’ur</w:t>
      </w:r>
      <w:proofErr w:type="spellEnd"/>
      <w:r>
        <w:t xml:space="preserve"> Halacha to OC 228:1)</w:t>
      </w:r>
      <w:r>
        <w:rPr>
          <w:i/>
          <w:iCs/>
        </w:rPr>
        <w:t xml:space="preserve">. </w:t>
      </w:r>
      <w:r>
        <w:t xml:space="preserve">Fascinatingly, </w:t>
      </w:r>
      <w:proofErr w:type="spellStart"/>
      <w:r>
        <w:t>B’tzel</w:t>
      </w:r>
      <w:proofErr w:type="spellEnd"/>
      <w:r>
        <w:t xml:space="preserve"> </w:t>
      </w:r>
      <w:proofErr w:type="spellStart"/>
      <w:r>
        <w:t>Hachochma</w:t>
      </w:r>
      <w:proofErr w:type="spellEnd"/>
      <w:r>
        <w:t xml:space="preserve"> (II:12) argues that since </w:t>
      </w:r>
      <w:r>
        <w:rPr>
          <w:i/>
          <w:iCs/>
        </w:rPr>
        <w:t xml:space="preserve">OMB </w:t>
      </w:r>
      <w:r>
        <w:t xml:space="preserve">is called for only for those things that existed at the creation of the world and since there are Talmudic accounts that the Mediterranean basin was not originally filled with water, one cannot be </w:t>
      </w:r>
      <w:proofErr w:type="spellStart"/>
      <w:r>
        <w:rPr>
          <w:i/>
          <w:iCs/>
        </w:rPr>
        <w:t>yotzei</w:t>
      </w:r>
      <w:proofErr w:type="spellEnd"/>
      <w:r>
        <w:t xml:space="preserve"> with </w:t>
      </w:r>
      <w:r>
        <w:rPr>
          <w:i/>
          <w:iCs/>
        </w:rPr>
        <w:t>OMB</w:t>
      </w:r>
      <w:r>
        <w:t xml:space="preserve"> but only with </w:t>
      </w:r>
      <w:r>
        <w:rPr>
          <w:i/>
          <w:iCs/>
        </w:rPr>
        <w:t>HYHG</w:t>
      </w:r>
      <w:r>
        <w:t xml:space="preserve">. However, the more accepted opinion is </w:t>
      </w:r>
      <w:r w:rsidRPr="00817AC3">
        <w:rPr>
          <w:i/>
          <w:iCs/>
        </w:rPr>
        <w:t>OMB</w:t>
      </w:r>
      <w:r>
        <w:t xml:space="preserve"> on the Mediterranean and </w:t>
      </w:r>
      <w:r>
        <w:rPr>
          <w:i/>
          <w:iCs/>
        </w:rPr>
        <w:t>HYHG</w:t>
      </w:r>
      <w:r>
        <w:t xml:space="preserve"> on the Atlantic (see </w:t>
      </w:r>
      <w:proofErr w:type="spellStart"/>
      <w:r>
        <w:t>Piskei</w:t>
      </w:r>
      <w:proofErr w:type="spellEnd"/>
      <w:r>
        <w:t xml:space="preserve"> </w:t>
      </w:r>
      <w:proofErr w:type="spellStart"/>
      <w:r>
        <w:t>Teshuvot</w:t>
      </w:r>
      <w:proofErr w:type="spellEnd"/>
      <w:r>
        <w:t xml:space="preserve"> 228:2; </w:t>
      </w:r>
      <w:proofErr w:type="spellStart"/>
      <w:r>
        <w:t>Halichot</w:t>
      </w:r>
      <w:proofErr w:type="spellEnd"/>
      <w:r>
        <w:t xml:space="preserve"> </w:t>
      </w:r>
      <w:proofErr w:type="spellStart"/>
      <w:r>
        <w:t>Shlomo</w:t>
      </w:r>
      <w:proofErr w:type="spellEnd"/>
      <w:r>
        <w:t xml:space="preserve"> 23:29). (We will not discuss special steps to fulfill more opinions.) </w:t>
      </w:r>
    </w:p>
    <w:p w14:paraId="4D6159F7" w14:textId="77777777" w:rsidR="00D94FE1" w:rsidRPr="00E124E9" w:rsidRDefault="00D94FE1" w:rsidP="00D94FE1">
      <w:pPr>
        <w:bidi w:val="0"/>
        <w:ind w:firstLine="450"/>
        <w:jc w:val="both"/>
        <w:rPr>
          <w:i/>
          <w:iCs/>
        </w:rPr>
      </w:pPr>
      <w:r>
        <w:t xml:space="preserve">Contemporary </w:t>
      </w:r>
      <w:proofErr w:type="spellStart"/>
      <w:r>
        <w:rPr>
          <w:i/>
          <w:iCs/>
        </w:rPr>
        <w:t>poskim</w:t>
      </w:r>
      <w:proofErr w:type="spellEnd"/>
      <w:r>
        <w:rPr>
          <w:i/>
          <w:iCs/>
        </w:rPr>
        <w:t xml:space="preserve"> </w:t>
      </w:r>
      <w:r>
        <w:t xml:space="preserve">wonder about what to do on a trip where one passes both bodies of water (see </w:t>
      </w:r>
      <w:proofErr w:type="spellStart"/>
      <w:r>
        <w:t>Divrei</w:t>
      </w:r>
      <w:proofErr w:type="spellEnd"/>
      <w:r>
        <w:t xml:space="preserve"> </w:t>
      </w:r>
      <w:proofErr w:type="spellStart"/>
      <w:r>
        <w:t>Yatziv</w:t>
      </w:r>
      <w:proofErr w:type="spellEnd"/>
      <w:r>
        <w:t xml:space="preserve">, OC I:95). There is logic to recite on both, at least if one makes different </w:t>
      </w:r>
      <w:proofErr w:type="spellStart"/>
      <w:r>
        <w:rPr>
          <w:i/>
          <w:iCs/>
        </w:rPr>
        <w:t>berachot</w:t>
      </w:r>
      <w:proofErr w:type="spellEnd"/>
      <w:r>
        <w:rPr>
          <w:i/>
          <w:iCs/>
        </w:rPr>
        <w:t xml:space="preserve"> </w:t>
      </w:r>
      <w:r>
        <w:t xml:space="preserve">on them and given the significant break between them. However, because there is reason to say that these connected waterways are one regarding this </w:t>
      </w:r>
      <w:proofErr w:type="spellStart"/>
      <w:r>
        <w:rPr>
          <w:i/>
          <w:iCs/>
        </w:rPr>
        <w:t>beracha</w:t>
      </w:r>
      <w:proofErr w:type="spellEnd"/>
      <w:r>
        <w:t xml:space="preserve"> (</w:t>
      </w:r>
      <w:proofErr w:type="spellStart"/>
      <w:r>
        <w:t>B’tzel</w:t>
      </w:r>
      <w:proofErr w:type="spellEnd"/>
      <w:r>
        <w:t xml:space="preserve"> </w:t>
      </w:r>
      <w:proofErr w:type="spellStart"/>
      <w:r>
        <w:t>Hachochma</w:t>
      </w:r>
      <w:proofErr w:type="spellEnd"/>
      <w:r>
        <w:t xml:space="preserve"> II:16) and since you will be within 30 days of seeing a vast body of water, it is advisable not to make a second </w:t>
      </w:r>
      <w:proofErr w:type="spellStart"/>
      <w:r>
        <w:rPr>
          <w:i/>
          <w:iCs/>
        </w:rPr>
        <w:t>beracha</w:t>
      </w:r>
      <w:proofErr w:type="spellEnd"/>
      <w:r>
        <w:t xml:space="preserve"> (with Hashem’s Name). On the way back within 30 days, one definitely does not make another </w:t>
      </w:r>
      <w:proofErr w:type="spellStart"/>
      <w:r>
        <w:rPr>
          <w:i/>
          <w:iCs/>
        </w:rPr>
        <w:t>beracha</w:t>
      </w:r>
      <w:proofErr w:type="spellEnd"/>
      <w:r>
        <w:t xml:space="preserve">, assuming he saw the water clearly on the first leg.                                                                                                   </w:t>
      </w:r>
      <w:r>
        <w:rPr>
          <w:i/>
          <w:iCs/>
        </w:rPr>
        <w:t xml:space="preserve">  </w:t>
      </w:r>
    </w:p>
    <w:p w14:paraId="77E81482" w14:textId="77777777" w:rsidR="00DE33DA" w:rsidRDefault="00DE33DA" w:rsidP="00E434C3">
      <w:pPr>
        <w:bidi w:val="0"/>
        <w:jc w:val="center"/>
        <w:rPr>
          <w:b/>
          <w:bCs/>
          <w:color w:val="0070C0"/>
          <w:sz w:val="24"/>
          <w:szCs w:val="24"/>
        </w:rPr>
      </w:pPr>
      <w:r>
        <w:rPr>
          <w:b/>
          <w:bCs/>
          <w:color w:val="0070C0"/>
          <w:sz w:val="24"/>
          <w:szCs w:val="24"/>
        </w:rPr>
        <w:br/>
      </w:r>
    </w:p>
    <w:p w14:paraId="2BA195E4" w14:textId="33FFD055" w:rsidR="00B00E1C" w:rsidRDefault="00B00E1C" w:rsidP="00DE33DA">
      <w:pPr>
        <w:bidi w:val="0"/>
        <w:jc w:val="center"/>
        <w:rPr>
          <w:rFonts w:ascii="Calibri" w:hAnsi="Calibri" w:cs="Calibri"/>
          <w:b/>
          <w:bCs/>
          <w:color w:val="0070C0"/>
          <w:sz w:val="24"/>
          <w:szCs w:val="24"/>
        </w:rPr>
      </w:pPr>
      <w:r>
        <w:rPr>
          <w:b/>
          <w:bCs/>
          <w:color w:val="0070C0"/>
          <w:sz w:val="24"/>
          <w:szCs w:val="24"/>
        </w:rPr>
        <w:t>“Behind the Scenes” Zoom shiur</w:t>
      </w:r>
    </w:p>
    <w:p w14:paraId="71001FAC" w14:textId="51BC77D1" w:rsidR="00B00E1C"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4" w:history="1">
        <w:r>
          <w:rPr>
            <w:rStyle w:val="Hyperlink"/>
          </w:rPr>
          <w:t>info@eretzhemdah.org</w:t>
        </w:r>
      </w:hyperlink>
      <w:r>
        <w:t xml:space="preserve"> to sign up (free) or for more information on joining the group.</w:t>
      </w:r>
    </w:p>
    <w:p w14:paraId="534D3B43" w14:textId="77777777" w:rsidR="00E434C3" w:rsidRPr="008E27B2" w:rsidRDefault="00E434C3" w:rsidP="00E434C3">
      <w:pPr>
        <w:bidi w:val="0"/>
        <w:rPr>
          <w:rFonts w:ascii="Calibri" w:hAnsi="Calibri"/>
          <w:sz w:val="22"/>
          <w:szCs w:val="22"/>
        </w:rPr>
      </w:pPr>
    </w:p>
    <w:p w14:paraId="26554809" w14:textId="4AB24597" w:rsidR="001D2511" w:rsidRDefault="001D2511" w:rsidP="00457415">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516B1A" w:rsidP="00C63F78">
      <w:pPr>
        <w:bidi w:val="0"/>
        <w:contextualSpacing/>
        <w:jc w:val="center"/>
        <w:rPr>
          <w:sz w:val="18"/>
          <w:szCs w:val="18"/>
        </w:rPr>
      </w:pPr>
      <w:hyperlink r:id="rId15"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5"/>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052103D5" w:rsidR="00717DE4" w:rsidRDefault="00DE33DA" w:rsidP="00717DE4">
      <w:pPr>
        <w:bidi w:val="0"/>
        <w:contextualSpacing/>
        <w:jc w:val="center"/>
      </w:pPr>
      <w:r>
        <w:rPr>
          <w:noProof/>
        </w:rPr>
        <w:drawing>
          <wp:anchor distT="0" distB="0" distL="114300" distR="114300" simplePos="0" relativeHeight="251665920" behindDoc="0" locked="1" layoutInCell="1" allowOverlap="1" wp14:anchorId="5E9CAD63" wp14:editId="227612AD">
            <wp:simplePos x="0" y="0"/>
            <wp:positionH relativeFrom="margin">
              <wp:posOffset>1708150</wp:posOffset>
            </wp:positionH>
            <wp:positionV relativeFrom="page">
              <wp:posOffset>9977120</wp:posOffset>
            </wp:positionV>
            <wp:extent cx="3358515" cy="508000"/>
            <wp:effectExtent l="0" t="0" r="0" b="635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58515" cy="508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092D48" w14:textId="2258DE8A" w:rsidR="00717DE4" w:rsidRDefault="004848C0" w:rsidP="003E32F5">
      <w:pPr>
        <w:bidi w:val="0"/>
        <w:contextualSpacing/>
      </w:pPr>
      <w:r w:rsidRPr="009C77C0">
        <w:rPr>
          <w:noProof/>
        </w:rPr>
        <w:lastRenderedPageBreak/>
        <w:drawing>
          <wp:inline distT="0" distB="0" distL="0" distR="0" wp14:anchorId="060A54C5" wp14:editId="77BF6B68">
            <wp:extent cx="5849620" cy="480060"/>
            <wp:effectExtent l="0" t="0" r="0" b="0"/>
            <wp:docPr id="3" name="תמונה 11" descr="Z:\פירסום ויחסי ציבור\חמדת ימים\כותרות\Igrot HaRe'aya - Letters of Rav K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1" descr="Z:\פירסום ויחסי ציבור\חמדת ימים\כותרות\Igrot HaRe'aya - Letters of Rav Kook.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49620" cy="480060"/>
                    </a:xfrm>
                    <a:prstGeom prst="rect">
                      <a:avLst/>
                    </a:prstGeom>
                    <a:noFill/>
                    <a:ln>
                      <a:noFill/>
                    </a:ln>
                  </pic:spPr>
                </pic:pic>
              </a:graphicData>
            </a:graphic>
          </wp:inline>
        </w:drawing>
      </w:r>
    </w:p>
    <w:p w14:paraId="231B0683" w14:textId="77777777" w:rsidR="000A62A9" w:rsidRDefault="000A62A9" w:rsidP="00D2392D">
      <w:pPr>
        <w:bidi w:val="0"/>
        <w:contextualSpacing/>
      </w:pPr>
    </w:p>
    <w:p w14:paraId="44FCFC34" w14:textId="66568851" w:rsidR="00F559C4" w:rsidRDefault="00F559C4" w:rsidP="00F559C4">
      <w:pPr>
        <w:bidi w:val="0"/>
        <w:rPr>
          <w:b/>
          <w:bCs/>
          <w:color w:val="D85640"/>
          <w:sz w:val="24"/>
          <w:szCs w:val="24"/>
          <w:u w:val="single"/>
        </w:rPr>
      </w:pPr>
    </w:p>
    <w:p w14:paraId="43326D41" w14:textId="77777777" w:rsidR="00D94FE1" w:rsidRPr="00647002" w:rsidRDefault="00D94FE1" w:rsidP="00D94FE1">
      <w:pPr>
        <w:bidi w:val="0"/>
        <w:rPr>
          <w:b/>
          <w:bCs/>
        </w:rPr>
      </w:pPr>
      <w:r>
        <w:rPr>
          <w:b/>
          <w:bCs/>
          <w:color w:val="D85640"/>
          <w:sz w:val="28"/>
          <w:szCs w:val="28"/>
        </w:rPr>
        <w:t xml:space="preserve">Good Work, Regrettable Language – #330 </w:t>
      </w:r>
    </w:p>
    <w:p w14:paraId="00961FE6" w14:textId="77777777" w:rsidR="00D94FE1" w:rsidRDefault="00D94FE1" w:rsidP="00D94FE1">
      <w:pPr>
        <w:bidi w:val="0"/>
        <w:rPr>
          <w:b/>
          <w:bCs/>
          <w:color w:val="D85640"/>
          <w:sz w:val="24"/>
          <w:szCs w:val="24"/>
          <w:u w:val="single"/>
        </w:rPr>
      </w:pPr>
    </w:p>
    <w:p w14:paraId="1A526065" w14:textId="77777777" w:rsidR="00D94FE1" w:rsidRDefault="00D94FE1" w:rsidP="00D94FE1">
      <w:pPr>
        <w:bidi w:val="0"/>
      </w:pPr>
      <w:r w:rsidRPr="00B951C3">
        <w:rPr>
          <w:b/>
          <w:bCs/>
          <w:color w:val="D85640"/>
          <w:sz w:val="24"/>
          <w:szCs w:val="24"/>
          <w:u w:val="single"/>
        </w:rPr>
        <w:t>Date and Place</w:t>
      </w:r>
      <w:r>
        <w:rPr>
          <w:color w:val="D85640"/>
          <w:sz w:val="24"/>
          <w:szCs w:val="24"/>
        </w:rPr>
        <w:t xml:space="preserve">: </w:t>
      </w:r>
      <w:r>
        <w:t xml:space="preserve"> 21 Elul 5670 (1910), Yafo</w:t>
      </w:r>
    </w:p>
    <w:p w14:paraId="6548D21D" w14:textId="77777777" w:rsidR="00D94FE1" w:rsidRDefault="00D94FE1" w:rsidP="00D94FE1">
      <w:pPr>
        <w:bidi w:val="0"/>
      </w:pPr>
    </w:p>
    <w:p w14:paraId="35B19C8F" w14:textId="77777777" w:rsidR="00D94FE1" w:rsidRPr="006C0C21" w:rsidRDefault="00D94FE1" w:rsidP="00D94FE1">
      <w:pPr>
        <w:bidi w:val="0"/>
        <w:rPr>
          <w:rtl/>
        </w:rPr>
      </w:pPr>
      <w:bookmarkStart w:id="4" w:name="_Hlk199243204"/>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 xml:space="preserve">Rabbi Binyamin Menashe Levine. Levine was a protégé of Rav Kook from when Rav Kook was a rabbi in </w:t>
      </w:r>
      <w:proofErr w:type="spellStart"/>
      <w:r>
        <w:t>Biosk</w:t>
      </w:r>
      <w:proofErr w:type="spellEnd"/>
      <w:r>
        <w:t xml:space="preserve">. We have seen warm letters between them over the years. Rav Kook encouraged Rav Levine’s scholarship. Rabbi Levine’s greatest field of expertise was the period of the </w:t>
      </w:r>
      <w:r>
        <w:rPr>
          <w:i/>
          <w:iCs/>
        </w:rPr>
        <w:t>Geonim</w:t>
      </w:r>
      <w:r>
        <w:t xml:space="preserve">, and he published the letters of Rav </w:t>
      </w:r>
      <w:proofErr w:type="spellStart"/>
      <w:r>
        <w:t>Shrira</w:t>
      </w:r>
      <w:proofErr w:type="spellEnd"/>
      <w:r>
        <w:t xml:space="preserve"> Gaon. This interchange relates to Levine’s introduction to the book on Rav </w:t>
      </w:r>
      <w:proofErr w:type="spellStart"/>
      <w:r>
        <w:t>Shrira</w:t>
      </w:r>
      <w:proofErr w:type="spellEnd"/>
      <w:r>
        <w:t xml:space="preserve"> Gaon. It was probably written in German, the academic language of Rav Levine’s milieu (he studied in the University of Bern).  </w:t>
      </w:r>
    </w:p>
    <w:p w14:paraId="79CFD909" w14:textId="77777777" w:rsidR="00D94FE1" w:rsidRDefault="00D94FE1" w:rsidP="00D94FE1">
      <w:pPr>
        <w:bidi w:val="0"/>
      </w:pPr>
      <w:r>
        <w:t xml:space="preserve"> </w:t>
      </w:r>
    </w:p>
    <w:p w14:paraId="35C62C3A" w14:textId="77777777" w:rsidR="00D94FE1" w:rsidRDefault="00D94FE1" w:rsidP="00D94FE1">
      <w:pPr>
        <w:bidi w:val="0"/>
      </w:pPr>
      <w:r w:rsidRPr="00B951C3">
        <w:rPr>
          <w:b/>
          <w:bCs/>
          <w:color w:val="D85640"/>
          <w:sz w:val="24"/>
          <w:szCs w:val="24"/>
          <w:u w:val="single"/>
        </w:rPr>
        <w:t>Body</w:t>
      </w:r>
      <w:r w:rsidRPr="00DB3F7E">
        <w:rPr>
          <w:color w:val="D85640"/>
          <w:sz w:val="24"/>
          <w:szCs w:val="24"/>
        </w:rPr>
        <w:t>:</w:t>
      </w:r>
      <w:r w:rsidRPr="00DB3F7E">
        <w:rPr>
          <w:sz w:val="24"/>
          <w:szCs w:val="24"/>
        </w:rPr>
        <w:t xml:space="preserve"> </w:t>
      </w:r>
      <w:r>
        <w:t xml:space="preserve">Dear friend, I received your dear composition, some time ago. I do not need to explain to your honor the nature of the joy of my heart to see your glorious work. It is a sign of fabulous diligence, which is a testament to your true love for the ancient luminaries of the Torah. This encapsulates all of the life of our spirit, and these are visible at every corner of your dear composition. This also demonstrates the quality of your major work on the whole publication, which filled my heart with the joy of salvation. Continue to succeed, my dear, be prominent in Efrat and have a name in Beit </w:t>
      </w:r>
      <w:proofErr w:type="spellStart"/>
      <w:r>
        <w:t>Lechem</w:t>
      </w:r>
      <w:proofErr w:type="spellEnd"/>
      <w:r>
        <w:t xml:space="preserve"> of the gates (a sophisticated play on words from Rut 4:11 and </w:t>
      </w:r>
      <w:proofErr w:type="spellStart"/>
      <w:r>
        <w:t>Shoftim</w:t>
      </w:r>
      <w:proofErr w:type="spellEnd"/>
      <w:r>
        <w:t xml:space="preserve"> 5:8, which is very hard to convey in translation), the gates of Torah and the thoughts of holy scholars. </w:t>
      </w:r>
    </w:p>
    <w:p w14:paraId="0E9B6D96" w14:textId="77777777" w:rsidR="00D94FE1" w:rsidRDefault="00D94FE1" w:rsidP="00D94FE1">
      <w:pPr>
        <w:bidi w:val="0"/>
        <w:ind w:firstLine="450"/>
      </w:pPr>
      <w:r>
        <w:t>However, a tiny measure of pain is mixed in with my great satisfaction. I considered that it would have been better if this dear treasure would have been written in our holy language, the true acquisition of Hashem’s nation. But this is a widespread problem, from which we hope we can move on when the nations will clearly change to a desire to call out in the Name of Hashem. Then they will collect for us all of our treasures (Torah manuscripts) that exist on foreign soil. Maybe you will recover and transfer the treasure of your goodness to our holy language. This will enrich the new Hebrew language, which has been disgraced from the honor it deserves by its defilers, so that it will return to being expensive property and attractive jewelry, honored by Hashem and by man.</w:t>
      </w:r>
    </w:p>
    <w:p w14:paraId="7BC7D606" w14:textId="77777777" w:rsidR="00D94FE1" w:rsidRDefault="00D94FE1" w:rsidP="00D94FE1">
      <w:pPr>
        <w:bidi w:val="0"/>
      </w:pPr>
    </w:p>
    <w:p w14:paraId="3C6AAFC6" w14:textId="77777777" w:rsidR="00D94FE1" w:rsidRDefault="00D94FE1" w:rsidP="00D94FE1">
      <w:pPr>
        <w:bidi w:val="0"/>
        <w:rPr>
          <w:b/>
          <w:bCs/>
          <w:color w:val="D85640"/>
          <w:sz w:val="28"/>
          <w:szCs w:val="28"/>
        </w:rPr>
      </w:pPr>
    </w:p>
    <w:p w14:paraId="63E601B0" w14:textId="77777777" w:rsidR="00D94FE1" w:rsidRPr="00647002" w:rsidRDefault="00D94FE1" w:rsidP="00D94FE1">
      <w:pPr>
        <w:bidi w:val="0"/>
        <w:rPr>
          <w:b/>
          <w:bCs/>
        </w:rPr>
      </w:pPr>
      <w:r>
        <w:rPr>
          <w:b/>
          <w:bCs/>
          <w:color w:val="D85640"/>
          <w:sz w:val="28"/>
          <w:szCs w:val="28"/>
        </w:rPr>
        <w:t xml:space="preserve">Congratulations on New Rabbinical Position – #331 </w:t>
      </w:r>
    </w:p>
    <w:p w14:paraId="09DBB713" w14:textId="77777777" w:rsidR="00D94FE1" w:rsidRDefault="00D94FE1" w:rsidP="00D94FE1">
      <w:pPr>
        <w:bidi w:val="0"/>
        <w:rPr>
          <w:b/>
          <w:bCs/>
          <w:color w:val="D85640"/>
          <w:sz w:val="24"/>
          <w:szCs w:val="24"/>
          <w:u w:val="single"/>
        </w:rPr>
      </w:pPr>
    </w:p>
    <w:p w14:paraId="4D0B0A3A" w14:textId="77777777" w:rsidR="00D94FE1" w:rsidRDefault="00D94FE1" w:rsidP="00D94FE1">
      <w:pPr>
        <w:bidi w:val="0"/>
      </w:pPr>
      <w:r w:rsidRPr="00B951C3">
        <w:rPr>
          <w:b/>
          <w:bCs/>
          <w:color w:val="D85640"/>
          <w:sz w:val="24"/>
          <w:szCs w:val="24"/>
          <w:u w:val="single"/>
        </w:rPr>
        <w:t>Date and Place</w:t>
      </w:r>
      <w:r>
        <w:rPr>
          <w:color w:val="D85640"/>
          <w:sz w:val="24"/>
          <w:szCs w:val="24"/>
        </w:rPr>
        <w:t xml:space="preserve">: </w:t>
      </w:r>
      <w:r>
        <w:t xml:space="preserve"> 25 Elul 5670 (1910), Yafo</w:t>
      </w:r>
    </w:p>
    <w:p w14:paraId="3B9420FF" w14:textId="77777777" w:rsidR="00D94FE1" w:rsidRDefault="00D94FE1" w:rsidP="00D94FE1">
      <w:pPr>
        <w:bidi w:val="0"/>
      </w:pPr>
    </w:p>
    <w:p w14:paraId="3CC2ACE1" w14:textId="77777777" w:rsidR="00D94FE1" w:rsidRDefault="00D94FE1" w:rsidP="00D94FE1">
      <w:pPr>
        <w:bidi w:val="0"/>
        <w:rPr>
          <w:rtl/>
        </w:rPr>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 xml:space="preserve">Rav Yaakov Moshe </w:t>
      </w:r>
      <w:proofErr w:type="spellStart"/>
      <w:r>
        <w:t>Charlop</w:t>
      </w:r>
      <w:proofErr w:type="spellEnd"/>
      <w:r>
        <w:t xml:space="preserve">, upon being appointed the rabbi of the new </w:t>
      </w:r>
      <w:proofErr w:type="spellStart"/>
      <w:r>
        <w:t>Sha’arei</w:t>
      </w:r>
      <w:proofErr w:type="spellEnd"/>
      <w:r>
        <w:t xml:space="preserve"> </w:t>
      </w:r>
      <w:proofErr w:type="spellStart"/>
      <w:r>
        <w:t>Chesed</w:t>
      </w:r>
      <w:proofErr w:type="spellEnd"/>
      <w:r>
        <w:t xml:space="preserve"> neighborhood of Jerusalem. I have seen earlier dating for his appointment to this position and do not know if he was appointed in stages.</w:t>
      </w:r>
    </w:p>
    <w:p w14:paraId="136F1034" w14:textId="77777777" w:rsidR="00D94FE1" w:rsidRDefault="00D94FE1" w:rsidP="00D94FE1">
      <w:pPr>
        <w:bidi w:val="0"/>
      </w:pPr>
      <w:r>
        <w:t xml:space="preserve"> </w:t>
      </w:r>
    </w:p>
    <w:p w14:paraId="26CD53EA" w14:textId="77777777" w:rsidR="00D94FE1" w:rsidRDefault="00D94FE1" w:rsidP="00D94FE1">
      <w:pPr>
        <w:bidi w:val="0"/>
      </w:pPr>
      <w:r w:rsidRPr="00B951C3">
        <w:rPr>
          <w:b/>
          <w:bCs/>
          <w:color w:val="D85640"/>
          <w:sz w:val="24"/>
          <w:szCs w:val="24"/>
          <w:u w:val="single"/>
        </w:rPr>
        <w:t>Body</w:t>
      </w:r>
      <w:r w:rsidRPr="00DB3F7E">
        <w:rPr>
          <w:color w:val="D85640"/>
          <w:sz w:val="24"/>
          <w:szCs w:val="24"/>
        </w:rPr>
        <w:t>:</w:t>
      </w:r>
      <w:r w:rsidRPr="00DB3F7E">
        <w:rPr>
          <w:sz w:val="24"/>
          <w:szCs w:val="24"/>
        </w:rPr>
        <w:t xml:space="preserve"> </w:t>
      </w:r>
      <w:r>
        <w:t>My heart is joyful with the good news that, thank G-d, “he who guarded the fig tree will eat its fruit” (</w:t>
      </w:r>
      <w:proofErr w:type="spellStart"/>
      <w:r>
        <w:t>Mishlei</w:t>
      </w:r>
      <w:proofErr w:type="spellEnd"/>
      <w:r>
        <w:t xml:space="preserve"> 27:18). May you stand in good health, “well-fed” and fresh, as you look after the sacred on the holy mountain until the time that a new song will be written, when the Temple will return to the holy city on the lofty, holy mountain. </w:t>
      </w:r>
    </w:p>
    <w:p w14:paraId="2E18F440" w14:textId="77777777" w:rsidR="00D94FE1" w:rsidRDefault="00D94FE1" w:rsidP="00D94FE1">
      <w:pPr>
        <w:bidi w:val="0"/>
        <w:ind w:firstLine="450"/>
      </w:pPr>
      <w:r>
        <w:t xml:space="preserve">May you be blessed as you enter the position of the rabbinate within the holy community, and may all enjoy the light of your Torah and your fear of Hashem. May the pleasantness of Hashem be upon you and upon them. “As soon as a Torah scholar is present, there is blessing” (see </w:t>
      </w:r>
      <w:proofErr w:type="spellStart"/>
      <w:r>
        <w:t>Berachot</w:t>
      </w:r>
      <w:proofErr w:type="spellEnd"/>
      <w:r>
        <w:t xml:space="preserve"> 42a). Fortunate are your congregants, that their lot fell upon a righteous man, a man among men with a pure heart and a straight path, a person who has everything in the realm of Torah and pure fear of Hashem with excellent attributes.</w:t>
      </w:r>
    </w:p>
    <w:p w14:paraId="0E5F1697" w14:textId="77777777" w:rsidR="00D94FE1" w:rsidRDefault="00D94FE1" w:rsidP="00D94FE1">
      <w:pPr>
        <w:bidi w:val="0"/>
        <w:ind w:firstLine="450"/>
      </w:pPr>
      <w:r>
        <w:t>Please send these sincere words of blessing to the holy community who “encamp around your flag.”</w:t>
      </w:r>
    </w:p>
    <w:bookmarkEnd w:id="4"/>
    <w:p w14:paraId="1C214EDD" w14:textId="44DB45E2" w:rsidR="0026392E" w:rsidRDefault="0026392E" w:rsidP="0026392E">
      <w:pPr>
        <w:bidi w:val="0"/>
        <w:spacing w:line="276" w:lineRule="auto"/>
        <w:ind w:firstLine="360"/>
      </w:pPr>
    </w:p>
    <w:p w14:paraId="2B14C186" w14:textId="56510406" w:rsidR="0026392E" w:rsidRDefault="0026392E" w:rsidP="0026392E">
      <w:pPr>
        <w:bidi w:val="0"/>
        <w:spacing w:line="276" w:lineRule="auto"/>
        <w:ind w:firstLine="360"/>
      </w:pPr>
    </w:p>
    <w:p w14:paraId="7D144BEB" w14:textId="77777777" w:rsidR="0026392E" w:rsidRDefault="0026392E" w:rsidP="0026392E">
      <w:pPr>
        <w:bidi w:val="0"/>
        <w:spacing w:line="276" w:lineRule="auto"/>
        <w:ind w:firstLine="360"/>
      </w:pPr>
    </w:p>
    <w:p w14:paraId="5BB6544F" w14:textId="7CCD2FF7" w:rsidR="00B92BEA" w:rsidRDefault="00B92BEA" w:rsidP="00B92BEA">
      <w:pPr>
        <w:bidi w:val="0"/>
        <w:spacing w:line="276" w:lineRule="auto"/>
        <w:ind w:firstLine="360"/>
      </w:pPr>
    </w:p>
    <w:p w14:paraId="66B60BB1" w14:textId="77777777" w:rsidR="00B92BEA" w:rsidRDefault="00B92BEA" w:rsidP="00B92BEA">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316DC81D" w:rsidR="00D9393A" w:rsidRDefault="00D9393A" w:rsidP="00D9393A">
      <w:pPr>
        <w:bidi w:val="0"/>
        <w:ind w:firstLine="360"/>
        <w:rPr>
          <w:rtl/>
        </w:rPr>
      </w:pPr>
    </w:p>
    <w:p w14:paraId="41EB3A56" w14:textId="3EF28392" w:rsidR="006A3D1C" w:rsidRDefault="006A3D1C" w:rsidP="000417F7">
      <w:pPr>
        <w:bidi w:val="0"/>
        <w:ind w:firstLine="360"/>
      </w:pPr>
    </w:p>
    <w:p w14:paraId="21CAF249" w14:textId="5DA0AE01" w:rsidR="003E32F5" w:rsidRDefault="003E32F5" w:rsidP="00BF0DC5">
      <w:pPr>
        <w:bidi w:val="0"/>
        <w:ind w:firstLine="360"/>
        <w:rPr>
          <w:noProof/>
        </w:rPr>
      </w:pPr>
    </w:p>
    <w:p w14:paraId="64BA4ABB" w14:textId="47727CCB" w:rsidR="003E32F5" w:rsidRDefault="003E32F5" w:rsidP="003E32F5">
      <w:pPr>
        <w:bidi w:val="0"/>
        <w:ind w:firstLine="360"/>
        <w:rPr>
          <w:noProof/>
        </w:rPr>
      </w:pPr>
    </w:p>
    <w:p w14:paraId="62C98626" w14:textId="4C0FD035" w:rsidR="003E32F5" w:rsidRDefault="003E32F5" w:rsidP="003E32F5">
      <w:pPr>
        <w:bidi w:val="0"/>
        <w:ind w:firstLine="360"/>
        <w:rPr>
          <w:noProof/>
        </w:rPr>
      </w:pPr>
    </w:p>
    <w:p w14:paraId="4D9344BA" w14:textId="514A332E" w:rsidR="00CB5AD2" w:rsidRDefault="00CB5AD2" w:rsidP="001E2084">
      <w:pPr>
        <w:bidi w:val="0"/>
        <w:ind w:firstLine="360"/>
        <w:rPr>
          <w:i/>
          <w:iCs/>
          <w:color w:val="D85640"/>
        </w:rPr>
      </w:pPr>
      <w:r>
        <w:rPr>
          <w:noProof/>
        </w:rPr>
        <w:drawing>
          <wp:anchor distT="0" distB="0" distL="114300" distR="114300" simplePos="0" relativeHeight="251657728" behindDoc="1" locked="0" layoutInCell="1" allowOverlap="1" wp14:anchorId="5562C0F0" wp14:editId="7F77345F">
            <wp:simplePos x="0" y="0"/>
            <wp:positionH relativeFrom="margin">
              <wp:posOffset>-26534</wp:posOffset>
            </wp:positionH>
            <wp:positionV relativeFrom="paragraph">
              <wp:posOffset>-427058</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52FB3E" w14:textId="77777777" w:rsidR="00764AB6" w:rsidRDefault="00764AB6" w:rsidP="00764AB6">
      <w:pPr>
        <w:pStyle w:val="Heading2"/>
        <w:bidi w:val="0"/>
        <w:spacing w:before="0" w:after="0"/>
        <w:rPr>
          <w:i w:val="0"/>
          <w:iCs w:val="0"/>
          <w:color w:val="D85640"/>
        </w:rPr>
      </w:pPr>
    </w:p>
    <w:p w14:paraId="50EEFBAA" w14:textId="5A06D46A" w:rsidR="00764AB6" w:rsidRPr="00764AB6" w:rsidRDefault="00764AB6" w:rsidP="00764AB6">
      <w:pPr>
        <w:pStyle w:val="Heading2"/>
        <w:bidi w:val="0"/>
        <w:spacing w:before="0" w:after="0"/>
        <w:rPr>
          <w:i w:val="0"/>
          <w:iCs w:val="0"/>
          <w:sz w:val="20"/>
        </w:rPr>
      </w:pPr>
      <w:r w:rsidRPr="00764AB6">
        <w:rPr>
          <w:i w:val="0"/>
          <w:iCs w:val="0"/>
          <w:color w:val="D85640"/>
        </w:rPr>
        <w:t xml:space="preserve">Amounts and Conditions of Payment to an Architect – part </w:t>
      </w:r>
      <w:r w:rsidR="000C713A">
        <w:rPr>
          <w:i w:val="0"/>
          <w:iCs w:val="0"/>
          <w:color w:val="D85640"/>
        </w:rPr>
        <w:t>I</w:t>
      </w:r>
      <w:r w:rsidR="00100C98">
        <w:rPr>
          <w:i w:val="0"/>
          <w:iCs w:val="0"/>
          <w:color w:val="D85640"/>
        </w:rPr>
        <w:t>V</w:t>
      </w:r>
      <w:r w:rsidRPr="00764AB6">
        <w:rPr>
          <w:i w:val="0"/>
          <w:iCs w:val="0"/>
          <w:sz w:val="20"/>
        </w:rPr>
        <w:t xml:space="preserve"> </w:t>
      </w:r>
    </w:p>
    <w:p w14:paraId="7B3982D1" w14:textId="77777777" w:rsidR="00764AB6" w:rsidRPr="00764AB6" w:rsidRDefault="00764AB6" w:rsidP="00764AB6">
      <w:pPr>
        <w:pStyle w:val="Heading2"/>
        <w:bidi w:val="0"/>
        <w:spacing w:before="0" w:after="0"/>
        <w:rPr>
          <w:b w:val="0"/>
          <w:bCs w:val="0"/>
          <w:i w:val="0"/>
          <w:iCs w:val="0"/>
          <w:sz w:val="22"/>
          <w:szCs w:val="18"/>
        </w:rPr>
      </w:pPr>
      <w:r w:rsidRPr="00764AB6">
        <w:rPr>
          <w:b w:val="0"/>
          <w:bCs w:val="0"/>
          <w:i w:val="0"/>
          <w:iCs w:val="0"/>
          <w:sz w:val="20"/>
        </w:rPr>
        <w:t>(</w:t>
      </w:r>
      <w:proofErr w:type="gramStart"/>
      <w:r w:rsidRPr="00764AB6">
        <w:rPr>
          <w:b w:val="0"/>
          <w:bCs w:val="0"/>
          <w:i w:val="0"/>
          <w:iCs w:val="0"/>
          <w:sz w:val="20"/>
        </w:rPr>
        <w:t>based</w:t>
      </w:r>
      <w:proofErr w:type="gramEnd"/>
      <w:r w:rsidRPr="00764AB6">
        <w:rPr>
          <w:b w:val="0"/>
          <w:bCs w:val="0"/>
          <w:i w:val="0"/>
          <w:iCs w:val="0"/>
          <w:sz w:val="20"/>
        </w:rPr>
        <w:t xml:space="preserve"> on ruling 83061 of the Eretz Hemdah-</w:t>
      </w:r>
      <w:proofErr w:type="spellStart"/>
      <w:r w:rsidRPr="00764AB6">
        <w:rPr>
          <w:b w:val="0"/>
          <w:bCs w:val="0"/>
          <w:i w:val="0"/>
          <w:iCs w:val="0"/>
          <w:sz w:val="20"/>
        </w:rPr>
        <w:t>Gazit</w:t>
      </w:r>
      <w:proofErr w:type="spellEnd"/>
      <w:r w:rsidRPr="00764AB6">
        <w:rPr>
          <w:b w:val="0"/>
          <w:bCs w:val="0"/>
          <w:i w:val="0"/>
          <w:iCs w:val="0"/>
          <w:sz w:val="20"/>
        </w:rPr>
        <w:t xml:space="preserve"> Rabbinical Courts)</w:t>
      </w:r>
    </w:p>
    <w:p w14:paraId="7985421E" w14:textId="77777777" w:rsidR="000C713A" w:rsidRPr="006C633B" w:rsidRDefault="000C713A" w:rsidP="000C713A">
      <w:pPr>
        <w:jc w:val="both"/>
        <w:rPr>
          <w:sz w:val="24"/>
        </w:rPr>
      </w:pPr>
    </w:p>
    <w:p w14:paraId="530FC97D" w14:textId="77777777" w:rsidR="00100C98" w:rsidRPr="00DD07E5" w:rsidRDefault="00100C98" w:rsidP="00100C98">
      <w:pPr>
        <w:bidi w:val="0"/>
        <w:spacing w:line="276" w:lineRule="auto"/>
      </w:pPr>
      <w:r w:rsidRPr="0024039C">
        <w:rPr>
          <w:b/>
          <w:bCs/>
          <w:color w:val="D85640"/>
          <w:sz w:val="24"/>
          <w:u w:val="single"/>
        </w:rPr>
        <w:t>Case</w:t>
      </w:r>
      <w:r w:rsidRPr="0024039C">
        <w:rPr>
          <w:b/>
          <w:bCs/>
          <w:color w:val="D85640"/>
          <w:sz w:val="24"/>
        </w:rPr>
        <w:t>:</w:t>
      </w:r>
      <w:r>
        <w:t xml:space="preserve"> The plaintiff (=</w:t>
      </w:r>
      <w:r>
        <w:rPr>
          <w:i/>
          <w:iCs/>
        </w:rPr>
        <w:t>pl</w:t>
      </w:r>
      <w:r>
        <w:t>), an architect, worked on two projects for the defendant (=</w:t>
      </w:r>
      <w:r>
        <w:rPr>
          <w:i/>
          <w:iCs/>
        </w:rPr>
        <w:t>def</w:t>
      </w:r>
      <w:r>
        <w:t xml:space="preserve">). Regarding each, they dispute the amount due and/or the payment’s timing. </w:t>
      </w:r>
      <w:r>
        <w:rPr>
          <w:i/>
          <w:iCs/>
        </w:rPr>
        <w:t>Over the last three weeks, we have surveyed various parts of the ruling. Now we deal with appeals [</w:t>
      </w:r>
      <w:r w:rsidRPr="00C61275">
        <w:rPr>
          <w:i/>
          <w:iCs/>
        </w:rPr>
        <w:t xml:space="preserve">of </w:t>
      </w:r>
      <w:r>
        <w:rPr>
          <w:i/>
          <w:iCs/>
        </w:rPr>
        <w:t>both sides] that relate to many elements of the ruling. Most of the elements of appeal were rejected, but even a good ruling may have certain elements that can be successfully questioned. We focus on a handful of the issues.</w:t>
      </w:r>
      <w:r>
        <w:t xml:space="preserve">  </w:t>
      </w:r>
    </w:p>
    <w:p w14:paraId="1FB1983A" w14:textId="77777777" w:rsidR="00100C98" w:rsidRPr="00561B28" w:rsidRDefault="00100C98" w:rsidP="00100C98">
      <w:pPr>
        <w:bidi w:val="0"/>
        <w:spacing w:line="276" w:lineRule="auto"/>
        <w:rPr>
          <w:sz w:val="22"/>
          <w:szCs w:val="22"/>
        </w:rPr>
      </w:pPr>
    </w:p>
    <w:p w14:paraId="7B29BE69" w14:textId="77777777" w:rsidR="00100C98" w:rsidRPr="000142D8" w:rsidRDefault="00100C98" w:rsidP="00100C98">
      <w:pPr>
        <w:bidi w:val="0"/>
        <w:spacing w:line="276" w:lineRule="auto"/>
        <w:rPr>
          <w:rtl/>
        </w:rPr>
      </w:pPr>
      <w:r w:rsidRPr="0024039C">
        <w:rPr>
          <w:b/>
          <w:bCs/>
          <w:color w:val="D85640"/>
          <w:sz w:val="24"/>
          <w:szCs w:val="24"/>
          <w:u w:val="single"/>
        </w:rPr>
        <w:t>Ruling</w:t>
      </w:r>
      <w:r w:rsidRPr="0024039C">
        <w:rPr>
          <w:b/>
          <w:bCs/>
          <w:color w:val="D85640"/>
          <w:sz w:val="24"/>
          <w:szCs w:val="24"/>
        </w:rPr>
        <w:t>:</w:t>
      </w:r>
      <w:r w:rsidRPr="009A2EDB">
        <w:rPr>
          <w:sz w:val="22"/>
          <w:szCs w:val="22"/>
        </w:rPr>
        <w:t xml:space="preserve"> </w:t>
      </w:r>
      <w:r w:rsidRPr="003F5EE7">
        <w:rPr>
          <w:b/>
          <w:bCs/>
          <w:i/>
          <w:iCs/>
        </w:rPr>
        <w:t xml:space="preserve">Ribbit </w:t>
      </w:r>
      <w:r w:rsidRPr="003F5EE7">
        <w:rPr>
          <w:b/>
          <w:bCs/>
        </w:rPr>
        <w:t>as part of the price:</w:t>
      </w:r>
      <w:r>
        <w:t xml:space="preserve"> </w:t>
      </w:r>
      <w:r>
        <w:rPr>
          <w:i/>
          <w:iCs/>
        </w:rPr>
        <w:t xml:space="preserve">Def </w:t>
      </w:r>
      <w:r w:rsidRPr="003F5EE7">
        <w:t>claims that the</w:t>
      </w:r>
      <w:r>
        <w:rPr>
          <w:i/>
          <w:iCs/>
        </w:rPr>
        <w:t xml:space="preserve"> </w:t>
      </w:r>
      <w:r>
        <w:t xml:space="preserve">fee for the second project should have been 66,000 NIS and the 142,000 NIS was because of </w:t>
      </w:r>
      <w:proofErr w:type="spellStart"/>
      <w:r>
        <w:rPr>
          <w:i/>
          <w:iCs/>
        </w:rPr>
        <w:t>def</w:t>
      </w:r>
      <w:r w:rsidRPr="003F5EE7">
        <w:t>’s</w:t>
      </w:r>
      <w:proofErr w:type="spellEnd"/>
      <w:r>
        <w:t xml:space="preserve"> demand that the payment be put off for years, so that he need not pay the difference because it is forbidden to pay </w:t>
      </w:r>
      <w:r>
        <w:rPr>
          <w:i/>
          <w:iCs/>
        </w:rPr>
        <w:t>ribbit</w:t>
      </w:r>
      <w:r>
        <w:t xml:space="preserve">. </w:t>
      </w:r>
      <w:r>
        <w:rPr>
          <w:i/>
          <w:iCs/>
        </w:rPr>
        <w:t>Beit din</w:t>
      </w:r>
      <w:r>
        <w:t xml:space="preserve"> rejects this claim. The itemized stages of payment in the price estimate demonstrate that the payment is for the work, not for waiting. Although </w:t>
      </w:r>
      <w:proofErr w:type="spellStart"/>
      <w:r>
        <w:rPr>
          <w:i/>
          <w:iCs/>
        </w:rPr>
        <w:t>def</w:t>
      </w:r>
      <w:r>
        <w:t>’s</w:t>
      </w:r>
      <w:proofErr w:type="spellEnd"/>
      <w:r>
        <w:t xml:space="preserve"> agreement is conditional on late payment, it does not turn the charges into late-payment increases, but is a concession regarding time of payment. Additionally, as long as there is not a demand of extra pay for extending the payment until after the completion of the work, it is not </w:t>
      </w:r>
      <w:proofErr w:type="gramStart"/>
      <w:r>
        <w:rPr>
          <w:i/>
          <w:iCs/>
        </w:rPr>
        <w:t>ribbit</w:t>
      </w:r>
      <w:proofErr w:type="gramEnd"/>
      <w:r>
        <w:t>.</w:t>
      </w:r>
      <w:r>
        <w:rPr>
          <w:i/>
          <w:iCs/>
        </w:rPr>
        <w:t xml:space="preserve"> </w:t>
      </w:r>
      <w:r>
        <w:t xml:space="preserve"> </w:t>
      </w:r>
    </w:p>
    <w:p w14:paraId="0B7ABE14" w14:textId="77777777" w:rsidR="00100C98" w:rsidRDefault="00100C98" w:rsidP="00100C98">
      <w:pPr>
        <w:bidi w:val="0"/>
        <w:spacing w:line="276" w:lineRule="auto"/>
      </w:pPr>
      <w:r w:rsidRPr="00393192">
        <w:rPr>
          <w:b/>
          <w:bCs/>
        </w:rPr>
        <w:t>A few more percent for hard work in the beginning:</w:t>
      </w:r>
      <w:r>
        <w:rPr>
          <w:b/>
          <w:bCs/>
        </w:rPr>
        <w:t xml:space="preserve"> </w:t>
      </w:r>
      <w:r w:rsidRPr="00393192">
        <w:t>The</w:t>
      </w:r>
      <w:r>
        <w:rPr>
          <w:b/>
          <w:bCs/>
        </w:rPr>
        <w:t xml:space="preserve"> </w:t>
      </w:r>
      <w:r w:rsidRPr="00393192">
        <w:t>expert</w:t>
      </w:r>
      <w:r>
        <w:t xml:space="preserve"> who estimated that </w:t>
      </w:r>
      <w:r>
        <w:rPr>
          <w:i/>
          <w:iCs/>
        </w:rPr>
        <w:t xml:space="preserve">pl </w:t>
      </w:r>
      <w:r>
        <w:t xml:space="preserve">completed 35% of the work when he stopped, said that it is traditional for payment of 10% more than the amount due when stopping after the first stage because the first stage includes extra work, but the first </w:t>
      </w:r>
      <w:proofErr w:type="spellStart"/>
      <w:r>
        <w:rPr>
          <w:i/>
          <w:iCs/>
        </w:rPr>
        <w:t>beit</w:t>
      </w:r>
      <w:proofErr w:type="spellEnd"/>
      <w:r>
        <w:rPr>
          <w:i/>
          <w:iCs/>
        </w:rPr>
        <w:t xml:space="preserve"> din </w:t>
      </w:r>
      <w:r>
        <w:t xml:space="preserve">obligated only 35% because there was no proof the beginning work was harder. The appeal </w:t>
      </w:r>
      <w:proofErr w:type="spellStart"/>
      <w:r>
        <w:rPr>
          <w:i/>
          <w:iCs/>
        </w:rPr>
        <w:t>beit</w:t>
      </w:r>
      <w:proofErr w:type="spellEnd"/>
      <w:r>
        <w:rPr>
          <w:i/>
          <w:iCs/>
        </w:rPr>
        <w:t xml:space="preserve"> din</w:t>
      </w:r>
      <w:r>
        <w:t xml:space="preserve"> noted that according to the division of payments in the estimate, </w:t>
      </w:r>
      <w:r>
        <w:rPr>
          <w:i/>
          <w:iCs/>
        </w:rPr>
        <w:t xml:space="preserve">pl </w:t>
      </w:r>
      <w:r>
        <w:t xml:space="preserve">stopped working when 50% of the payment was due. While this is not enough to obligate 50%, it lends credence to the idea of adding on a few percent, and so the appeal to obligate 38.5% is accepted. </w:t>
      </w:r>
    </w:p>
    <w:p w14:paraId="7EDAC986" w14:textId="77777777" w:rsidR="00100C98" w:rsidRDefault="00100C98" w:rsidP="00100C98">
      <w:pPr>
        <w:bidi w:val="0"/>
        <w:spacing w:line="276" w:lineRule="auto"/>
      </w:pPr>
      <w:r w:rsidRPr="00D42291">
        <w:rPr>
          <w:b/>
          <w:bCs/>
        </w:rPr>
        <w:t>Payment of VAT:</w:t>
      </w:r>
      <w:r>
        <w:rPr>
          <w:b/>
          <w:bCs/>
        </w:rPr>
        <w:t xml:space="preserve"> </w:t>
      </w:r>
      <w:r w:rsidRPr="00D42291">
        <w:t>W</w:t>
      </w:r>
      <w:r>
        <w:t xml:space="preserve">hen stating the amount due, the first </w:t>
      </w:r>
      <w:proofErr w:type="spellStart"/>
      <w:r>
        <w:rPr>
          <w:i/>
          <w:iCs/>
        </w:rPr>
        <w:t>beit</w:t>
      </w:r>
      <w:proofErr w:type="spellEnd"/>
      <w:r>
        <w:rPr>
          <w:i/>
          <w:iCs/>
        </w:rPr>
        <w:t xml:space="preserve"> din</w:t>
      </w:r>
      <w:r>
        <w:t xml:space="preserve"> did not write that coverage of VAT should be added. </w:t>
      </w:r>
      <w:r>
        <w:rPr>
          <w:i/>
          <w:iCs/>
        </w:rPr>
        <w:t>Def</w:t>
      </w:r>
      <w:r>
        <w:t xml:space="preserve"> says there is no need for VAT because the payment is for compensation, not work. However, </w:t>
      </w:r>
      <w:r>
        <w:rPr>
          <w:i/>
          <w:iCs/>
        </w:rPr>
        <w:t xml:space="preserve">pl </w:t>
      </w:r>
      <w:r>
        <w:t>is correct that the payment is for professional work rendered, which requires paying VAT, the payment of which falls on the recipient of the services.</w:t>
      </w:r>
    </w:p>
    <w:p w14:paraId="2A7205BA" w14:textId="77777777" w:rsidR="00100C98" w:rsidRPr="007F520A" w:rsidRDefault="00100C98" w:rsidP="00100C98">
      <w:pPr>
        <w:bidi w:val="0"/>
        <w:spacing w:line="276" w:lineRule="auto"/>
      </w:pPr>
      <w:r>
        <w:rPr>
          <w:b/>
          <w:bCs/>
        </w:rPr>
        <w:t xml:space="preserve">Payment plan: </w:t>
      </w:r>
      <w:r>
        <w:t xml:space="preserve">The first </w:t>
      </w:r>
      <w:proofErr w:type="spellStart"/>
      <w:r>
        <w:rPr>
          <w:i/>
          <w:iCs/>
        </w:rPr>
        <w:t>beit</w:t>
      </w:r>
      <w:proofErr w:type="spellEnd"/>
      <w:r>
        <w:rPr>
          <w:i/>
          <w:iCs/>
        </w:rPr>
        <w:t xml:space="preserve"> din</w:t>
      </w:r>
      <w:r>
        <w:t xml:space="preserve"> spread out the payment plan over six payments. The general rule for payment of a </w:t>
      </w:r>
      <w:proofErr w:type="spellStart"/>
      <w:r>
        <w:rPr>
          <w:i/>
          <w:iCs/>
        </w:rPr>
        <w:t>beit</w:t>
      </w:r>
      <w:proofErr w:type="spellEnd"/>
      <w:r>
        <w:rPr>
          <w:i/>
          <w:iCs/>
        </w:rPr>
        <w:t xml:space="preserve"> din</w:t>
      </w:r>
      <w:r>
        <w:t xml:space="preserve"> ruling is 30 days. It is true that this can be extended when a large amount of money is deemed to require more time to arrange. However, since both the original wait for payment and the length of the adjudication were great, it is not right to make </w:t>
      </w:r>
      <w:r>
        <w:rPr>
          <w:i/>
          <w:iCs/>
        </w:rPr>
        <w:t>pl</w:t>
      </w:r>
      <w:r>
        <w:t xml:space="preserve"> wait so long. Therefore, we decide that the payment should be in two installments, a month apart.</w:t>
      </w:r>
    </w:p>
    <w:p w14:paraId="2FC5763F" w14:textId="56F99664" w:rsidR="000C713A" w:rsidRPr="00B42822" w:rsidRDefault="000C713A" w:rsidP="000C713A">
      <w:pPr>
        <w:bidi w:val="0"/>
        <w:spacing w:line="276" w:lineRule="auto"/>
        <w:ind w:firstLine="450"/>
        <w:rPr>
          <w:i/>
          <w:iCs/>
        </w:rPr>
      </w:pPr>
    </w:p>
    <w:p w14:paraId="622B8FCE" w14:textId="77777777" w:rsidR="002B099F" w:rsidRDefault="002B099F" w:rsidP="00B92BEA">
      <w:pPr>
        <w:pStyle w:val="PlainText"/>
        <w:spacing w:line="276" w:lineRule="auto"/>
        <w:rPr>
          <w:color w:val="365F91"/>
        </w:rPr>
      </w:pPr>
    </w:p>
    <w:p w14:paraId="5E535F9E" w14:textId="77777777" w:rsidR="002B099F" w:rsidRDefault="002B099F" w:rsidP="00316F85">
      <w:pPr>
        <w:pStyle w:val="PlainText"/>
        <w:jc w:val="center"/>
        <w:rPr>
          <w:color w:val="365F91"/>
        </w:rPr>
      </w:pPr>
    </w:p>
    <w:p w14:paraId="3FF9BA6F" w14:textId="0405672A"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516B1A"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5EE491E2" w14:textId="01BD798D" w:rsidR="00A9710F" w:rsidRDefault="00A9710F" w:rsidP="00316F85">
      <w:pPr>
        <w:pStyle w:val="PlainText"/>
        <w:jc w:val="center"/>
      </w:pPr>
    </w:p>
    <w:p w14:paraId="5CECBFA8" w14:textId="77777777" w:rsidR="00A9710F" w:rsidRDefault="00A9710F" w:rsidP="00316F85">
      <w:pPr>
        <w:pStyle w:val="PlainText"/>
        <w:jc w:val="center"/>
      </w:pPr>
    </w:p>
    <w:p w14:paraId="54E9C13E" w14:textId="77777777" w:rsidR="00920ABD" w:rsidRDefault="00920AB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350136B4" w:rsidR="00973C63" w:rsidRDefault="00973C63" w:rsidP="0025079F">
    <w:pPr>
      <w:pStyle w:val="Header"/>
      <w:tabs>
        <w:tab w:val="left" w:pos="6738"/>
        <w:tab w:val="right" w:pos="10798"/>
      </w:tabs>
      <w:bidi w:val="0"/>
      <w:jc w:val="center"/>
      <w:rPr>
        <w:rFonts w:ascii="Tahoma" w:hAnsi="Tahoma" w:cs="Tahoma"/>
        <w:b/>
        <w:bCs/>
        <w:sz w:val="22"/>
        <w:szCs w:val="22"/>
      </w:rPr>
    </w:pPr>
    <w:r>
      <w:rPr>
        <w:b/>
        <w:bCs/>
        <w:color w:val="D85640"/>
        <w:sz w:val="28"/>
        <w:szCs w:val="28"/>
      </w:rPr>
      <w:tab/>
    </w:r>
    <w:r>
      <w:rPr>
        <w:b/>
        <w:bCs/>
        <w:color w:val="D85640"/>
        <w:sz w:val="28"/>
        <w:szCs w:val="28"/>
      </w:rPr>
      <w:tab/>
    </w:r>
    <w:r w:rsidR="00D94FE1">
      <w:rPr>
        <w:b/>
        <w:bCs/>
        <w:color w:val="D85640"/>
        <w:sz w:val="26"/>
        <w:szCs w:val="26"/>
      </w:rPr>
      <w:t>Shelach</w:t>
    </w: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88065"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4F59"/>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5E9E"/>
    <w:rsid w:val="000F6352"/>
    <w:rsid w:val="000F69F1"/>
    <w:rsid w:val="000F6A36"/>
    <w:rsid w:val="000F6C4A"/>
    <w:rsid w:val="000F6EFA"/>
    <w:rsid w:val="000F701F"/>
    <w:rsid w:val="000F760A"/>
    <w:rsid w:val="00100C98"/>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C14"/>
    <w:rsid w:val="003D0D59"/>
    <w:rsid w:val="003D0E09"/>
    <w:rsid w:val="003D12A3"/>
    <w:rsid w:val="003D158D"/>
    <w:rsid w:val="003D1980"/>
    <w:rsid w:val="003D1C06"/>
    <w:rsid w:val="003D29BF"/>
    <w:rsid w:val="003D2F04"/>
    <w:rsid w:val="003D34A4"/>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B1A"/>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BA4"/>
    <w:rsid w:val="005B7C47"/>
    <w:rsid w:val="005B7D00"/>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54"/>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E1"/>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A5C"/>
    <w:rsid w:val="00DE1AFB"/>
    <w:rsid w:val="00DE2423"/>
    <w:rsid w:val="00DE2514"/>
    <w:rsid w:val="00DE2641"/>
    <w:rsid w:val="00DE3068"/>
    <w:rsid w:val="00DE32EF"/>
    <w:rsid w:val="00DE33DA"/>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A6C"/>
    <w:rsid w:val="00F61B76"/>
    <w:rsid w:val="00F61F53"/>
    <w:rsid w:val="00F6326E"/>
    <w:rsid w:val="00F639DC"/>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8065"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retzhemdah.org/AskTheRabbi.asp?pageid=3&amp;lang=en"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info@eretzhemdah.org"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2914</Words>
  <Characters>14234</Characters>
  <Application>Microsoft Office Word</Application>
  <DocSecurity>0</DocSecurity>
  <Lines>118</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17114</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10</cp:revision>
  <cp:lastPrinted>2025-05-15T11:35:00Z</cp:lastPrinted>
  <dcterms:created xsi:type="dcterms:W3CDTF">2025-05-26T09:38:00Z</dcterms:created>
  <dcterms:modified xsi:type="dcterms:W3CDTF">2025-06-17T13:00:00Z</dcterms:modified>
</cp:coreProperties>
</file>