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383A95E7"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r w:rsidR="001005DF">
              <w:rPr>
                <w:b/>
                <w:bCs/>
                <w:color w:val="D85640"/>
                <w:sz w:val="28"/>
                <w:szCs w:val="28"/>
              </w:rPr>
              <w:t xml:space="preserve">Ki </w:t>
            </w:r>
            <w:proofErr w:type="spellStart"/>
            <w:r w:rsidR="001005DF">
              <w:rPr>
                <w:b/>
                <w:bCs/>
                <w:color w:val="D85640"/>
                <w:sz w:val="28"/>
                <w:szCs w:val="28"/>
              </w:rPr>
              <w:t>T</w:t>
            </w:r>
            <w:r w:rsidR="00822426">
              <w:rPr>
                <w:b/>
                <w:bCs/>
                <w:color w:val="D85640"/>
                <w:sz w:val="28"/>
                <w:szCs w:val="28"/>
              </w:rPr>
              <w:t>avo</w:t>
            </w:r>
            <w:proofErr w:type="spellEnd"/>
            <w:r w:rsidR="00563D69" w:rsidRPr="00E57AA2">
              <w:rPr>
                <w:b/>
                <w:bCs/>
                <w:color w:val="D85640"/>
                <w:sz w:val="32"/>
                <w:szCs w:val="32"/>
              </w:rPr>
              <w:t>,</w:t>
            </w:r>
            <w:r w:rsidR="00DB429E" w:rsidRPr="00E57AA2">
              <w:rPr>
                <w:b/>
                <w:bCs/>
                <w:color w:val="D85640"/>
                <w:sz w:val="32"/>
                <w:szCs w:val="32"/>
              </w:rPr>
              <w:t xml:space="preserve"> </w:t>
            </w:r>
            <w:r w:rsidR="00410F81">
              <w:rPr>
                <w:b/>
                <w:bCs/>
                <w:color w:val="D85640"/>
                <w:sz w:val="28"/>
                <w:szCs w:val="28"/>
              </w:rPr>
              <w:t>Elul</w:t>
            </w:r>
            <w:r w:rsidR="00423C8E" w:rsidRPr="002969AE">
              <w:rPr>
                <w:b/>
                <w:bCs/>
                <w:color w:val="D85640"/>
                <w:sz w:val="28"/>
                <w:szCs w:val="28"/>
              </w:rPr>
              <w:t xml:space="preserve"> </w:t>
            </w:r>
            <w:r w:rsidR="00822426">
              <w:rPr>
                <w:b/>
                <w:bCs/>
                <w:color w:val="D85640"/>
                <w:sz w:val="28"/>
                <w:szCs w:val="28"/>
              </w:rPr>
              <w:t>20</w:t>
            </w:r>
            <w:r w:rsidR="00583358" w:rsidRPr="002969AE">
              <w:rPr>
                <w:b/>
                <w:bCs/>
                <w:color w:val="D85640"/>
                <w:sz w:val="28"/>
                <w:szCs w:val="28"/>
              </w:rPr>
              <w:t>,</w:t>
            </w:r>
            <w:r w:rsidR="00433BBA" w:rsidRPr="002969AE">
              <w:rPr>
                <w:b/>
                <w:bCs/>
                <w:color w:val="D85640"/>
                <w:sz w:val="28"/>
                <w:szCs w:val="28"/>
              </w:rPr>
              <w:t xml:space="preserve"> </w:t>
            </w:r>
            <w:r w:rsidR="00563D69" w:rsidRPr="002969AE">
              <w:rPr>
                <w:b/>
                <w:bCs/>
                <w:color w:val="D85640"/>
                <w:sz w:val="28"/>
                <w:szCs w:val="28"/>
              </w:rPr>
              <w:t>5</w:t>
            </w:r>
            <w:r w:rsidR="003B66DD" w:rsidRPr="002969AE">
              <w:rPr>
                <w:b/>
                <w:bCs/>
                <w:color w:val="D85640"/>
                <w:sz w:val="28"/>
                <w:szCs w:val="28"/>
              </w:rPr>
              <w:t>78</w:t>
            </w:r>
            <w:r w:rsidR="006F36D7" w:rsidRPr="002969AE">
              <w:rPr>
                <w:b/>
                <w:bCs/>
                <w:color w:val="D85640"/>
                <w:sz w:val="28"/>
                <w:szCs w:val="28"/>
              </w:rPr>
              <w:t>5</w:t>
            </w:r>
            <w:r w:rsidR="00E32E36" w:rsidRPr="002969AE">
              <w:rPr>
                <w:b/>
                <w:bCs/>
                <w:color w:val="D85640"/>
                <w:sz w:val="28"/>
                <w:szCs w:val="28"/>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385ACA6C" w14:textId="3A959862" w:rsidR="00711BAF" w:rsidRPr="001834E1" w:rsidRDefault="00711BAF" w:rsidP="00711BAF">
            <w:pPr>
              <w:jc w:val="center"/>
              <w:rPr>
                <w:i/>
                <w:iCs/>
                <w:color w:val="002060"/>
                <w:sz w:val="28"/>
                <w:szCs w:val="28"/>
              </w:rPr>
            </w:pPr>
            <w:r>
              <w:rPr>
                <w:b/>
                <w:bCs/>
                <w:color w:val="002060"/>
                <w:sz w:val="28"/>
                <w:szCs w:val="28"/>
              </w:rPr>
              <w:t xml:space="preserve">Can One Give a Loan to Hashem? – part </w:t>
            </w:r>
            <w:r w:rsidR="00822426">
              <w:rPr>
                <w:b/>
                <w:bCs/>
                <w:color w:val="002060"/>
                <w:sz w:val="28"/>
                <w:szCs w:val="28"/>
              </w:rPr>
              <w:t>I</w:t>
            </w:r>
            <w:r>
              <w:rPr>
                <w:b/>
                <w:bCs/>
                <w:color w:val="002060"/>
                <w:sz w:val="28"/>
                <w:szCs w:val="28"/>
              </w:rPr>
              <w:t>I</w:t>
            </w:r>
          </w:p>
          <w:p w14:paraId="74291A80" w14:textId="77777777" w:rsidR="002969AE" w:rsidRPr="001834E1" w:rsidRDefault="002969AE" w:rsidP="002969AE">
            <w:pPr>
              <w:jc w:val="center"/>
              <w:rPr>
                <w:color w:val="002060"/>
              </w:rPr>
            </w:pPr>
            <w:r w:rsidRPr="001834E1">
              <w:rPr>
                <w:color w:val="002060"/>
              </w:rPr>
              <w:t xml:space="preserve">Harav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26A08B0A" w14:textId="77777777" w:rsidR="00822426" w:rsidRDefault="00822426" w:rsidP="00822426">
      <w:pPr>
        <w:bidi w:val="0"/>
        <w:ind w:firstLine="426"/>
      </w:pPr>
      <w:bookmarkStart w:id="1" w:name="_Hlk193982934"/>
      <w:r>
        <w:t xml:space="preserve">As we saw last time, it is a </w:t>
      </w:r>
      <w:r>
        <w:rPr>
          <w:i/>
          <w:iCs/>
        </w:rPr>
        <w:t>mitzva</w:t>
      </w:r>
      <w:r>
        <w:t xml:space="preserve"> to lend money to poor Jews or even rich Jews who have a liquidity problem. After lending the money, it is forbidden to pressure the borrower, which finds expression in multiple negative commandments (see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97:1-2). We also saw how fulfilling these requirements makes one as if he is lending to Hashem! (Of course, consideration for the borrower does not reduce his important obligation to pay back.)</w:t>
      </w:r>
    </w:p>
    <w:p w14:paraId="7802B76D" w14:textId="77777777" w:rsidR="00822426" w:rsidRDefault="00822426" w:rsidP="00822426">
      <w:pPr>
        <w:bidi w:val="0"/>
        <w:ind w:firstLine="426"/>
      </w:pPr>
      <w:r>
        <w:t xml:space="preserve">There was a very different social and moral atmosphere in other nations that were considered enlightened, at the time the Torah was given and many years thereafter. We will give a few examples (see a survey of societies in this regard in Menachem Elon’s book, Individual Freedoms in Collecting Loans). </w:t>
      </w:r>
    </w:p>
    <w:p w14:paraId="1B43C4AA" w14:textId="77777777" w:rsidR="00822426" w:rsidRDefault="00822426" w:rsidP="00822426">
      <w:pPr>
        <w:bidi w:val="0"/>
        <w:ind w:firstLine="426"/>
      </w:pPr>
      <w:r>
        <w:t xml:space="preserve">In the Code of Hammurabi (Mesopotamia, at the time of Avraham) it is written: “If the debt was incurred by borrowing grain or silver, one may seize as collateral: the property, servants, children, and wives, and the person himself.” In other words, there were few limits to the harsh steps one could take against a hopeless debtor, in order to ensure payment. In contrast, according to the Torah, the only debtor who can be sold as a slave is a </w:t>
      </w:r>
      <w:r w:rsidRPr="00445C9D">
        <w:rPr>
          <w:b/>
          <w:bCs/>
        </w:rPr>
        <w:t>thief</w:t>
      </w:r>
      <w:r>
        <w:t xml:space="preserve"> who does not return or pay for what he stole.</w:t>
      </w:r>
    </w:p>
    <w:p w14:paraId="11DC6F2C" w14:textId="77777777" w:rsidR="00822426" w:rsidRDefault="00822426" w:rsidP="00822426">
      <w:pPr>
        <w:bidi w:val="0"/>
        <w:ind w:firstLine="426"/>
      </w:pPr>
      <w:r>
        <w:t xml:space="preserve">At the time of the four overlapping prophets – Hoshea, Amos, Yeshayahu, and Micha (toward the middle of the period of the kings of the First Temple) – the King of Egypt cancelled the punishment of sale of the debtor as a slave to pay the debt. However, he did not do this out of moral or compassionate concern, but based on consideration that if these people become slaves, they will not be paying taxes and will not be able to be drafted to the army. In Rome of the same time, if selling the debtor’s wife and children did not ensure the loan’s full payment, there was even a possibility to have him killed. </w:t>
      </w:r>
    </w:p>
    <w:p w14:paraId="50A1B46A" w14:textId="77777777" w:rsidR="00822426" w:rsidRDefault="00822426" w:rsidP="00822426">
      <w:pPr>
        <w:bidi w:val="0"/>
        <w:ind w:firstLine="426"/>
      </w:pPr>
      <w:r>
        <w:t xml:space="preserve">According to British law up to around 250 years ago, the creditor could hold the debtor in his dungeon. There were not even serious requirements for the creditor to feed him. The law states that if the debtor’s family cannot feed him sufficiently, it is fitting that he should die of famine. In contrast, our prophets and </w:t>
      </w:r>
      <w:r>
        <w:rPr>
          <w:i/>
          <w:iCs/>
        </w:rPr>
        <w:t>Chazal</w:t>
      </w:r>
      <w:r>
        <w:t xml:space="preserve"> spoke strongly about the dignity due a debtor who has not paid. </w:t>
      </w:r>
    </w:p>
    <w:p w14:paraId="669320A5" w14:textId="77777777" w:rsidR="00822426" w:rsidRDefault="00822426" w:rsidP="00822426">
      <w:pPr>
        <w:bidi w:val="0"/>
        <w:ind w:firstLine="426"/>
      </w:pPr>
      <w:r>
        <w:t xml:space="preserve">Unfortunately, at times, members of our nation learned the practices of the surrounding nations rather than the laws of the Torah. Melachim II, 4:1 talks about the widow and orphans who were in debt, and the creditors came to sell the orphans as slaves. </w:t>
      </w:r>
      <w:r>
        <w:rPr>
          <w:i/>
          <w:iCs/>
        </w:rPr>
        <w:t>Chazal</w:t>
      </w:r>
      <w:r>
        <w:t xml:space="preserve"> identify the creditor as King </w:t>
      </w:r>
      <w:proofErr w:type="spellStart"/>
      <w:r>
        <w:t>Yehoram</w:t>
      </w:r>
      <w:proofErr w:type="spellEnd"/>
      <w:r>
        <w:t xml:space="preserve">, the son of </w:t>
      </w:r>
      <w:proofErr w:type="spellStart"/>
      <w:r>
        <w:t>Achav</w:t>
      </w:r>
      <w:proofErr w:type="spellEnd"/>
      <w:r>
        <w:t xml:space="preserve"> and </w:t>
      </w:r>
      <w:proofErr w:type="spellStart"/>
      <w:r>
        <w:t>Izevel</w:t>
      </w:r>
      <w:proofErr w:type="spellEnd"/>
      <w:r>
        <w:t xml:space="preserve">. </w:t>
      </w:r>
      <w:proofErr w:type="spellStart"/>
      <w:r>
        <w:t>Yehoram</w:t>
      </w:r>
      <w:proofErr w:type="spellEnd"/>
      <w:r>
        <w:t xml:space="preserve"> was soon thereafter killed by </w:t>
      </w:r>
      <w:proofErr w:type="spellStart"/>
      <w:r>
        <w:t>Yehu</w:t>
      </w:r>
      <w:proofErr w:type="spellEnd"/>
      <w:r>
        <w:t xml:space="preserve"> ben </w:t>
      </w:r>
      <w:proofErr w:type="spellStart"/>
      <w:r>
        <w:t>Nimshi</w:t>
      </w:r>
      <w:proofErr w:type="spellEnd"/>
      <w:r>
        <w:t xml:space="preserve">, who was coronated by the prophet Yona, who was carrying out the prophecy of Eliyahu. </w:t>
      </w:r>
      <w:r>
        <w:rPr>
          <w:i/>
          <w:iCs/>
        </w:rPr>
        <w:t>Chazal</w:t>
      </w:r>
      <w:r>
        <w:t xml:space="preserve"> say that this was a punishment for his taking children as slaves without mercy (</w:t>
      </w:r>
      <w:proofErr w:type="spellStart"/>
      <w:r>
        <w:t>Shemot</w:t>
      </w:r>
      <w:proofErr w:type="spellEnd"/>
      <w:r>
        <w:t xml:space="preserve"> </w:t>
      </w:r>
      <w:proofErr w:type="spellStart"/>
      <w:r>
        <w:t>Rabba</w:t>
      </w:r>
      <w:proofErr w:type="spellEnd"/>
      <w:r>
        <w:t xml:space="preserve"> 31:4). </w:t>
      </w:r>
    </w:p>
    <w:tbl>
      <w:tblPr>
        <w:tblpPr w:leftFromText="162" w:rightFromText="162" w:vertAnchor="text" w:horzAnchor="margin" w:tblpXSpec="center" w:tblpY="704"/>
        <w:bidiVisual/>
        <w:tblW w:w="11220" w:type="dxa"/>
        <w:tblCellMar>
          <w:left w:w="0" w:type="dxa"/>
          <w:right w:w="0" w:type="dxa"/>
        </w:tblCellMar>
        <w:tblLook w:val="04A0" w:firstRow="1" w:lastRow="0" w:firstColumn="1" w:lastColumn="0" w:noHBand="0" w:noVBand="1"/>
      </w:tblPr>
      <w:tblGrid>
        <w:gridCol w:w="2281"/>
        <w:gridCol w:w="287"/>
        <w:gridCol w:w="720"/>
        <w:gridCol w:w="132"/>
        <w:gridCol w:w="1274"/>
        <w:gridCol w:w="430"/>
        <w:gridCol w:w="379"/>
        <w:gridCol w:w="184"/>
        <w:gridCol w:w="373"/>
        <w:gridCol w:w="337"/>
        <w:gridCol w:w="566"/>
        <w:gridCol w:w="1232"/>
        <w:gridCol w:w="190"/>
        <w:gridCol w:w="209"/>
        <w:gridCol w:w="80"/>
        <w:gridCol w:w="132"/>
        <w:gridCol w:w="2414"/>
      </w:tblGrid>
      <w:tr w:rsidR="001F22E6" w:rsidRPr="00D45E0D" w14:paraId="263213F0" w14:textId="77777777" w:rsidTr="001F22E6">
        <w:trPr>
          <w:trHeight w:val="282"/>
        </w:trPr>
        <w:tc>
          <w:tcPr>
            <w:tcW w:w="11220" w:type="dxa"/>
            <w:gridSpan w:val="17"/>
            <w:tcBorders>
              <w:bottom w:val="single" w:sz="4" w:space="0" w:color="auto"/>
            </w:tcBorders>
            <w:vAlign w:val="center"/>
            <w:hideMark/>
          </w:tcPr>
          <w:p w14:paraId="58A569C4" w14:textId="77777777" w:rsidR="001F22E6" w:rsidRPr="00133962" w:rsidRDefault="001F22E6" w:rsidP="001F22E6">
            <w:pPr>
              <w:bidi w:val="0"/>
              <w:jc w:val="both"/>
              <w:rPr>
                <w:b/>
                <w:bCs/>
                <w:sz w:val="10"/>
                <w:szCs w:val="10"/>
                <w:u w:val="single"/>
              </w:rPr>
            </w:pPr>
          </w:p>
          <w:p w14:paraId="5CD766A8" w14:textId="77777777" w:rsidR="001F22E6" w:rsidRDefault="001F22E6" w:rsidP="001F22E6">
            <w:pPr>
              <w:bidi w:val="0"/>
              <w:spacing w:line="360" w:lineRule="auto"/>
              <w:jc w:val="center"/>
              <w:rPr>
                <w:b/>
                <w:bCs/>
                <w:sz w:val="18"/>
                <w:szCs w:val="18"/>
                <w:u w:val="single"/>
              </w:rPr>
            </w:pPr>
          </w:p>
          <w:p w14:paraId="4E8A2ECB" w14:textId="77777777" w:rsidR="001F22E6" w:rsidRPr="00D45E0D" w:rsidRDefault="001F22E6" w:rsidP="001F22E6">
            <w:pPr>
              <w:bidi w:val="0"/>
              <w:spacing w:line="360" w:lineRule="auto"/>
              <w:jc w:val="center"/>
              <w:rPr>
                <w:b/>
                <w:bCs/>
                <w:sz w:val="18"/>
                <w:szCs w:val="18"/>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F22E6" w:rsidRPr="00133962" w14:paraId="3D1BCE60" w14:textId="77777777" w:rsidTr="001F22E6">
        <w:trPr>
          <w:trHeight w:val="381"/>
        </w:trPr>
        <w:tc>
          <w:tcPr>
            <w:tcW w:w="2281" w:type="dxa"/>
            <w:tcBorders>
              <w:top w:val="single" w:sz="4" w:space="0" w:color="auto"/>
              <w:bottom w:val="single" w:sz="4" w:space="0" w:color="auto"/>
            </w:tcBorders>
            <w:vAlign w:val="center"/>
            <w:hideMark/>
          </w:tcPr>
          <w:p w14:paraId="6A33B122" w14:textId="77777777" w:rsidR="001F22E6" w:rsidRPr="00133962" w:rsidRDefault="001F22E6" w:rsidP="001F22E6">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C1F421D" w14:textId="77777777" w:rsidR="001F22E6" w:rsidRPr="00133962" w:rsidRDefault="001F22E6" w:rsidP="001F22E6">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3638276E" w14:textId="77777777" w:rsidR="001F22E6" w:rsidRPr="003D2153" w:rsidRDefault="001F22E6" w:rsidP="001F22E6">
            <w:pPr>
              <w:bidi w:val="0"/>
              <w:jc w:val="center"/>
              <w:rPr>
                <w:sz w:val="6"/>
                <w:szCs w:val="6"/>
              </w:rPr>
            </w:pPr>
          </w:p>
          <w:p w14:paraId="234D7916" w14:textId="77777777" w:rsidR="001F22E6" w:rsidRPr="00133962" w:rsidRDefault="001F22E6" w:rsidP="001F22E6">
            <w:pPr>
              <w:bidi w:val="0"/>
              <w:jc w:val="center"/>
              <w:rPr>
                <w:b/>
                <w:bCs/>
                <w:sz w:val="16"/>
                <w:szCs w:val="16"/>
              </w:rPr>
            </w:pPr>
            <w:r w:rsidRPr="00133962">
              <w:rPr>
                <w:sz w:val="16"/>
                <w:szCs w:val="16"/>
              </w:rPr>
              <w:t>Rav</w:t>
            </w:r>
            <w:r w:rsidRPr="00133962">
              <w:rPr>
                <w:b/>
                <w:bCs/>
                <w:sz w:val="16"/>
                <w:szCs w:val="16"/>
              </w:rPr>
              <w:t xml:space="preserve"> Reuven &amp; Chaya Leah</w:t>
            </w:r>
          </w:p>
          <w:p w14:paraId="6E2AF776" w14:textId="77777777" w:rsidR="001F22E6" w:rsidRPr="00133962" w:rsidRDefault="001F22E6" w:rsidP="001F22E6">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01646C19" w14:textId="77777777" w:rsidR="001F22E6" w:rsidRPr="00133962" w:rsidRDefault="001F22E6" w:rsidP="001F22E6">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0493A2DF" w14:textId="77777777" w:rsidR="001F22E6" w:rsidRPr="00133962" w:rsidRDefault="001F22E6" w:rsidP="001F22E6">
            <w:pPr>
              <w:bidi w:val="0"/>
              <w:ind w:left="-302"/>
              <w:jc w:val="center"/>
              <w:rPr>
                <w:sz w:val="4"/>
                <w:szCs w:val="4"/>
              </w:rPr>
            </w:pPr>
          </w:p>
        </w:tc>
        <w:tc>
          <w:tcPr>
            <w:tcW w:w="1839" w:type="dxa"/>
            <w:gridSpan w:val="5"/>
            <w:tcBorders>
              <w:top w:val="single" w:sz="4" w:space="0" w:color="auto"/>
              <w:bottom w:val="single" w:sz="4" w:space="0" w:color="auto"/>
            </w:tcBorders>
            <w:vAlign w:val="center"/>
          </w:tcPr>
          <w:p w14:paraId="2EDC09CC" w14:textId="77777777" w:rsidR="001F22E6" w:rsidRPr="003D2153" w:rsidRDefault="001F22E6" w:rsidP="001F22E6">
            <w:pPr>
              <w:bidi w:val="0"/>
              <w:jc w:val="center"/>
              <w:rPr>
                <w:sz w:val="6"/>
                <w:szCs w:val="6"/>
              </w:rPr>
            </w:pPr>
          </w:p>
          <w:p w14:paraId="4A70B2B4" w14:textId="77777777" w:rsidR="001F22E6" w:rsidRPr="00133962" w:rsidRDefault="001F22E6" w:rsidP="001F22E6">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60848AE7" w14:textId="77777777" w:rsidR="001F22E6" w:rsidRPr="00133962" w:rsidRDefault="001F22E6" w:rsidP="001F22E6">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57D1AA77" w14:textId="77777777" w:rsidR="001F22E6" w:rsidRPr="00133962" w:rsidRDefault="001F22E6" w:rsidP="001F22E6">
            <w:pPr>
              <w:bidi w:val="0"/>
              <w:jc w:val="center"/>
              <w:rPr>
                <w:sz w:val="4"/>
                <w:szCs w:val="4"/>
              </w:rPr>
            </w:pPr>
          </w:p>
          <w:p w14:paraId="21857C50" w14:textId="77777777" w:rsidR="001F22E6" w:rsidRPr="00133962" w:rsidRDefault="001F22E6" w:rsidP="001F22E6">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8FEBDD1" w14:textId="77777777" w:rsidR="001F22E6" w:rsidRPr="00133962" w:rsidRDefault="001F22E6" w:rsidP="001F22E6">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7FC4A99A" w14:textId="77777777" w:rsidR="001F22E6" w:rsidRPr="00133962" w:rsidRDefault="001F22E6" w:rsidP="001F22E6">
            <w:pPr>
              <w:bidi w:val="0"/>
              <w:jc w:val="center"/>
              <w:rPr>
                <w:sz w:val="4"/>
                <w:szCs w:val="4"/>
              </w:rPr>
            </w:pPr>
          </w:p>
          <w:p w14:paraId="36AB7F5E" w14:textId="77777777" w:rsidR="001F22E6" w:rsidRPr="00133962" w:rsidRDefault="001F22E6" w:rsidP="001F22E6">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6C420DE4" w14:textId="77777777" w:rsidR="001F22E6" w:rsidRPr="00133962" w:rsidRDefault="001F22E6" w:rsidP="001F22E6">
            <w:pPr>
              <w:bidi w:val="0"/>
              <w:jc w:val="center"/>
            </w:pPr>
            <w:r w:rsidRPr="00133962">
              <w:rPr>
                <w:sz w:val="16"/>
                <w:szCs w:val="16"/>
              </w:rPr>
              <w:t>Iyar 10, 5771</w:t>
            </w:r>
          </w:p>
        </w:tc>
      </w:tr>
      <w:tr w:rsidR="001F22E6" w:rsidRPr="00133962" w14:paraId="36468DFA" w14:textId="77777777" w:rsidTr="001F22E6">
        <w:trPr>
          <w:trHeight w:val="616"/>
        </w:trPr>
        <w:tc>
          <w:tcPr>
            <w:tcW w:w="3420" w:type="dxa"/>
            <w:gridSpan w:val="4"/>
            <w:tcBorders>
              <w:top w:val="single" w:sz="4" w:space="0" w:color="auto"/>
              <w:bottom w:val="single" w:sz="4" w:space="0" w:color="auto"/>
            </w:tcBorders>
            <w:vAlign w:val="center"/>
            <w:hideMark/>
          </w:tcPr>
          <w:p w14:paraId="6EC91E1A" w14:textId="77777777" w:rsidR="001F22E6" w:rsidRPr="00133962" w:rsidRDefault="001F22E6" w:rsidP="001F22E6">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94B47F" w14:textId="77777777" w:rsidR="001F22E6" w:rsidRPr="00133962" w:rsidRDefault="001F22E6" w:rsidP="001F22E6">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47DD3917" w14:textId="77777777" w:rsidR="001F22E6" w:rsidRPr="00133962" w:rsidRDefault="001F22E6" w:rsidP="001F22E6">
            <w:pPr>
              <w:bidi w:val="0"/>
              <w:ind w:left="125" w:right="126"/>
              <w:jc w:val="center"/>
              <w:rPr>
                <w:sz w:val="17"/>
                <w:szCs w:val="17"/>
              </w:rPr>
            </w:pPr>
            <w:r w:rsidRPr="00133962">
              <w:rPr>
                <w:sz w:val="16"/>
                <w:szCs w:val="16"/>
              </w:rPr>
              <w:t>Tevet 16, 5780</w:t>
            </w:r>
          </w:p>
        </w:tc>
        <w:tc>
          <w:tcPr>
            <w:tcW w:w="2267" w:type="dxa"/>
            <w:gridSpan w:val="4"/>
            <w:tcBorders>
              <w:top w:val="single" w:sz="4" w:space="0" w:color="auto"/>
              <w:bottom w:val="single" w:sz="4" w:space="0" w:color="auto"/>
            </w:tcBorders>
            <w:tcMar>
              <w:top w:w="0" w:type="dxa"/>
              <w:left w:w="108" w:type="dxa"/>
              <w:bottom w:w="0" w:type="dxa"/>
              <w:right w:w="108" w:type="dxa"/>
            </w:tcMar>
            <w:vAlign w:val="center"/>
          </w:tcPr>
          <w:p w14:paraId="0CE3EFBD" w14:textId="77777777" w:rsidR="001F22E6" w:rsidRPr="00133962" w:rsidRDefault="001F22E6" w:rsidP="001F22E6">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1F70EAF9" w14:textId="77777777" w:rsidR="001F22E6" w:rsidRPr="00133962" w:rsidRDefault="001F22E6" w:rsidP="001F22E6">
            <w:pPr>
              <w:bidi w:val="0"/>
              <w:jc w:val="center"/>
              <w:rPr>
                <w:sz w:val="4"/>
                <w:szCs w:val="4"/>
              </w:rPr>
            </w:pPr>
            <w:r w:rsidRPr="00133962">
              <w:rPr>
                <w:sz w:val="16"/>
                <w:szCs w:val="16"/>
              </w:rPr>
              <w:t>Tevet 16 5783/ Iyar 8, 5781</w:t>
            </w:r>
          </w:p>
        </w:tc>
        <w:tc>
          <w:tcPr>
            <w:tcW w:w="2698" w:type="dxa"/>
            <w:gridSpan w:val="5"/>
            <w:tcBorders>
              <w:top w:val="single" w:sz="4" w:space="0" w:color="auto"/>
              <w:bottom w:val="single" w:sz="4" w:space="0" w:color="auto"/>
            </w:tcBorders>
            <w:vAlign w:val="center"/>
          </w:tcPr>
          <w:p w14:paraId="49F3069B" w14:textId="77777777" w:rsidR="001F22E6" w:rsidRPr="00133962" w:rsidRDefault="001F22E6" w:rsidP="001F22E6">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0B515256" w14:textId="77777777" w:rsidR="001F22E6" w:rsidRPr="00133962" w:rsidRDefault="001F22E6" w:rsidP="001F22E6">
            <w:pPr>
              <w:bidi w:val="0"/>
              <w:spacing w:line="276" w:lineRule="auto"/>
              <w:jc w:val="center"/>
              <w:rPr>
                <w:rFonts w:ascii="David" w:hAnsi="David" w:cs="David"/>
                <w:sz w:val="4"/>
                <w:szCs w:val="4"/>
              </w:rPr>
            </w:pPr>
            <w:r w:rsidRPr="00133962">
              <w:rPr>
                <w:sz w:val="16"/>
                <w:szCs w:val="16"/>
              </w:rPr>
              <w:t>Adar 28, 5781/ Adar II 14, 5784</w:t>
            </w:r>
          </w:p>
          <w:p w14:paraId="49D0618B" w14:textId="77777777" w:rsidR="001F22E6" w:rsidRPr="00133962" w:rsidRDefault="001F22E6" w:rsidP="001F22E6">
            <w:pPr>
              <w:bidi w:val="0"/>
              <w:jc w:val="center"/>
              <w:rPr>
                <w:sz w:val="4"/>
                <w:szCs w:val="4"/>
              </w:rPr>
            </w:pPr>
          </w:p>
        </w:tc>
        <w:tc>
          <w:tcPr>
            <w:tcW w:w="2835" w:type="dxa"/>
            <w:gridSpan w:val="4"/>
            <w:tcBorders>
              <w:top w:val="single" w:sz="4" w:space="0" w:color="auto"/>
              <w:bottom w:val="single" w:sz="4" w:space="0" w:color="auto"/>
            </w:tcBorders>
            <w:tcMar>
              <w:top w:w="0" w:type="dxa"/>
              <w:left w:w="108" w:type="dxa"/>
              <w:bottom w:w="0" w:type="dxa"/>
              <w:right w:w="108" w:type="dxa"/>
            </w:tcMar>
            <w:vAlign w:val="center"/>
          </w:tcPr>
          <w:p w14:paraId="5A3AE317" w14:textId="77777777" w:rsidR="001F22E6" w:rsidRPr="00133962" w:rsidRDefault="001F22E6" w:rsidP="001F22E6">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2026E224" w14:textId="77777777" w:rsidR="001F22E6" w:rsidRPr="00133962" w:rsidRDefault="001F22E6" w:rsidP="001F22E6">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0EBE516D" w14:textId="77777777" w:rsidR="001F22E6" w:rsidRPr="00133962" w:rsidRDefault="001F22E6" w:rsidP="001F22E6">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F22E6" w:rsidRPr="00133962" w14:paraId="0F960F9D" w14:textId="77777777" w:rsidTr="001F22E6">
        <w:trPr>
          <w:trHeight w:val="420"/>
        </w:trPr>
        <w:tc>
          <w:tcPr>
            <w:tcW w:w="2281" w:type="dxa"/>
            <w:tcBorders>
              <w:top w:val="single" w:sz="4" w:space="0" w:color="auto"/>
              <w:bottom w:val="single" w:sz="4" w:space="0" w:color="auto"/>
            </w:tcBorders>
            <w:vAlign w:val="center"/>
            <w:hideMark/>
          </w:tcPr>
          <w:p w14:paraId="4BC17F52" w14:textId="77777777" w:rsidR="001F22E6" w:rsidRPr="00133962" w:rsidRDefault="001F22E6" w:rsidP="001F22E6">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593E3BEA" w14:textId="77777777" w:rsidR="001F22E6" w:rsidRPr="00133962" w:rsidRDefault="001F22E6" w:rsidP="001F22E6">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438D52A7" w14:textId="77777777" w:rsidR="001F22E6" w:rsidRPr="00133962" w:rsidRDefault="001F22E6" w:rsidP="001F22E6">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1FA8B7EC" w14:textId="77777777" w:rsidR="001F22E6" w:rsidRPr="00133962" w:rsidRDefault="001F22E6" w:rsidP="001F22E6">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5"/>
            <w:tcBorders>
              <w:top w:val="single" w:sz="4" w:space="0" w:color="auto"/>
              <w:bottom w:val="single" w:sz="4" w:space="0" w:color="auto"/>
            </w:tcBorders>
            <w:vAlign w:val="center"/>
          </w:tcPr>
          <w:p w14:paraId="26A497C0" w14:textId="77777777" w:rsidR="001F22E6" w:rsidRPr="00133962" w:rsidRDefault="001F22E6" w:rsidP="001F22E6">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135E7160" w14:textId="77777777" w:rsidR="001F22E6" w:rsidRPr="00133962" w:rsidRDefault="001F22E6" w:rsidP="001F22E6">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25" w:type="dxa"/>
            <w:gridSpan w:val="5"/>
            <w:tcBorders>
              <w:top w:val="single" w:sz="4" w:space="0" w:color="auto"/>
              <w:bottom w:val="single" w:sz="4" w:space="0" w:color="auto"/>
            </w:tcBorders>
            <w:tcMar>
              <w:top w:w="0" w:type="dxa"/>
              <w:left w:w="108" w:type="dxa"/>
              <w:bottom w:w="0" w:type="dxa"/>
              <w:right w:w="108" w:type="dxa"/>
            </w:tcMar>
            <w:vAlign w:val="center"/>
          </w:tcPr>
          <w:p w14:paraId="29303470" w14:textId="77777777" w:rsidR="001F22E6" w:rsidRPr="00133962" w:rsidRDefault="001F22E6" w:rsidP="001F22E6">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395867E2" w14:textId="77777777" w:rsidR="001F22E6" w:rsidRPr="00133962" w:rsidRDefault="001F22E6" w:rsidP="001F22E6">
            <w:pPr>
              <w:bidi w:val="0"/>
              <w:jc w:val="center"/>
            </w:pPr>
            <w:r w:rsidRPr="00133962">
              <w:rPr>
                <w:sz w:val="16"/>
                <w:szCs w:val="16"/>
              </w:rPr>
              <w:t>Adar II 17, 5782</w:t>
            </w:r>
          </w:p>
        </w:tc>
      </w:tr>
      <w:tr w:rsidR="001F22E6" w:rsidRPr="00133962" w14:paraId="5632F93F" w14:textId="77777777" w:rsidTr="001F22E6">
        <w:trPr>
          <w:trHeight w:val="420"/>
        </w:trPr>
        <w:tc>
          <w:tcPr>
            <w:tcW w:w="2568" w:type="dxa"/>
            <w:gridSpan w:val="2"/>
            <w:tcBorders>
              <w:top w:val="single" w:sz="4" w:space="0" w:color="auto"/>
              <w:bottom w:val="single" w:sz="4" w:space="0" w:color="auto"/>
            </w:tcBorders>
            <w:vAlign w:val="center"/>
            <w:hideMark/>
          </w:tcPr>
          <w:p w14:paraId="0AE1AA98" w14:textId="77777777" w:rsidR="001F22E6" w:rsidRPr="00133962" w:rsidRDefault="001F22E6" w:rsidP="001F22E6">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E5A314F" w14:textId="77777777" w:rsidR="001F22E6" w:rsidRPr="00133962" w:rsidRDefault="001F22E6" w:rsidP="001F22E6">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5225DFF" w14:textId="77777777" w:rsidR="001F22E6" w:rsidRPr="00133962" w:rsidRDefault="001F22E6" w:rsidP="001F22E6">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027CBF41" w14:textId="77777777" w:rsidR="001F22E6" w:rsidRPr="00133962" w:rsidRDefault="001F22E6" w:rsidP="001F22E6">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06C1DC43" w14:textId="77777777" w:rsidR="001F22E6" w:rsidRPr="00133962" w:rsidRDefault="001F22E6" w:rsidP="001F22E6">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62B99EF" w14:textId="77777777" w:rsidR="001F22E6" w:rsidRPr="00133962" w:rsidRDefault="001F22E6" w:rsidP="001F22E6">
            <w:pPr>
              <w:bidi w:val="0"/>
              <w:jc w:val="center"/>
              <w:rPr>
                <w:sz w:val="16"/>
                <w:szCs w:val="16"/>
                <w:rtl/>
              </w:rPr>
            </w:pPr>
            <w:r w:rsidRPr="00133962">
              <w:rPr>
                <w:sz w:val="16"/>
                <w:szCs w:val="16"/>
              </w:rPr>
              <w:t>Nisan 27, 5782</w:t>
            </w:r>
          </w:p>
          <w:p w14:paraId="61BD3B02" w14:textId="77777777" w:rsidR="001F22E6" w:rsidRPr="00133962" w:rsidRDefault="001F22E6" w:rsidP="001F22E6">
            <w:pPr>
              <w:bidi w:val="0"/>
              <w:jc w:val="center"/>
              <w:rPr>
                <w:sz w:val="4"/>
                <w:szCs w:val="4"/>
              </w:rPr>
            </w:pPr>
          </w:p>
          <w:p w14:paraId="338D9A70" w14:textId="77777777" w:rsidR="001F22E6" w:rsidRPr="00133962" w:rsidRDefault="001F22E6" w:rsidP="001F22E6">
            <w:pPr>
              <w:bidi w:val="0"/>
              <w:jc w:val="center"/>
              <w:rPr>
                <w:sz w:val="4"/>
                <w:szCs w:val="4"/>
              </w:rPr>
            </w:pPr>
          </w:p>
        </w:tc>
        <w:tc>
          <w:tcPr>
            <w:tcW w:w="2197" w:type="dxa"/>
            <w:gridSpan w:val="4"/>
            <w:tcBorders>
              <w:top w:val="single" w:sz="4" w:space="0" w:color="auto"/>
              <w:bottom w:val="single" w:sz="4" w:space="0" w:color="auto"/>
            </w:tcBorders>
            <w:tcMar>
              <w:top w:w="0" w:type="dxa"/>
              <w:left w:w="108" w:type="dxa"/>
              <w:bottom w:w="0" w:type="dxa"/>
              <w:right w:w="108" w:type="dxa"/>
            </w:tcMar>
            <w:vAlign w:val="center"/>
          </w:tcPr>
          <w:p w14:paraId="5A6A84F1" w14:textId="77777777" w:rsidR="001F22E6" w:rsidRPr="00133962" w:rsidRDefault="001F22E6" w:rsidP="001F22E6">
            <w:pPr>
              <w:bidi w:val="0"/>
              <w:jc w:val="center"/>
              <w:rPr>
                <w:b/>
                <w:bCs/>
                <w:sz w:val="16"/>
                <w:szCs w:val="16"/>
              </w:rPr>
            </w:pPr>
            <w:r w:rsidRPr="00133962">
              <w:rPr>
                <w:sz w:val="16"/>
                <w:szCs w:val="16"/>
              </w:rPr>
              <w:t xml:space="preserve">Mr. </w:t>
            </w:r>
            <w:r w:rsidRPr="00133962">
              <w:rPr>
                <w:b/>
                <w:bCs/>
                <w:sz w:val="16"/>
                <w:szCs w:val="16"/>
              </w:rPr>
              <w:t xml:space="preserve">Shmuel </w:t>
            </w:r>
          </w:p>
          <w:p w14:paraId="437AEB9D" w14:textId="77777777" w:rsidR="001F22E6" w:rsidRPr="00133962" w:rsidRDefault="001F22E6" w:rsidP="001F22E6">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DADCC9C" w14:textId="77777777" w:rsidR="001F22E6" w:rsidRPr="00133962" w:rsidRDefault="001F22E6" w:rsidP="001F22E6">
            <w:pPr>
              <w:bidi w:val="0"/>
              <w:jc w:val="center"/>
            </w:pPr>
            <w:r w:rsidRPr="00133962">
              <w:rPr>
                <w:sz w:val="16"/>
                <w:szCs w:val="16"/>
              </w:rPr>
              <w:t>Sivan 17 / Av 20</w:t>
            </w:r>
          </w:p>
        </w:tc>
        <w:tc>
          <w:tcPr>
            <w:tcW w:w="2626" w:type="dxa"/>
            <w:gridSpan w:val="3"/>
            <w:tcBorders>
              <w:top w:val="single" w:sz="4" w:space="0" w:color="auto"/>
              <w:bottom w:val="single" w:sz="4" w:space="0" w:color="auto"/>
            </w:tcBorders>
            <w:vAlign w:val="center"/>
          </w:tcPr>
          <w:p w14:paraId="6F8F700F" w14:textId="77777777" w:rsidR="001F22E6" w:rsidRPr="00133962" w:rsidRDefault="001F22E6" w:rsidP="001F22E6">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6CCAE529" w14:textId="77777777" w:rsidR="001F22E6" w:rsidRPr="00133962" w:rsidRDefault="001F22E6" w:rsidP="001F22E6">
            <w:pPr>
              <w:bidi w:val="0"/>
              <w:jc w:val="center"/>
              <w:rPr>
                <w:sz w:val="16"/>
                <w:szCs w:val="16"/>
              </w:rPr>
            </w:pPr>
            <w:r w:rsidRPr="00133962">
              <w:rPr>
                <w:sz w:val="16"/>
                <w:szCs w:val="16"/>
              </w:rPr>
              <w:t>Rav Carmel's father</w:t>
            </w:r>
          </w:p>
          <w:p w14:paraId="3EC63D85" w14:textId="77777777" w:rsidR="001F22E6" w:rsidRPr="00133962" w:rsidRDefault="001F22E6" w:rsidP="001F22E6">
            <w:pPr>
              <w:bidi w:val="0"/>
              <w:jc w:val="center"/>
            </w:pPr>
            <w:r w:rsidRPr="00133962">
              <w:rPr>
                <w:sz w:val="16"/>
                <w:szCs w:val="16"/>
              </w:rPr>
              <w:t>Iyar 8, 5776</w:t>
            </w:r>
          </w:p>
        </w:tc>
      </w:tr>
      <w:tr w:rsidR="001F22E6" w:rsidRPr="00133962" w14:paraId="5E0D63A7" w14:textId="77777777" w:rsidTr="001F22E6">
        <w:trPr>
          <w:trHeight w:val="420"/>
        </w:trPr>
        <w:tc>
          <w:tcPr>
            <w:tcW w:w="3288" w:type="dxa"/>
            <w:gridSpan w:val="3"/>
            <w:tcBorders>
              <w:top w:val="single" w:sz="4" w:space="0" w:color="auto"/>
              <w:bottom w:val="single" w:sz="4" w:space="0" w:color="auto"/>
            </w:tcBorders>
            <w:vAlign w:val="center"/>
          </w:tcPr>
          <w:p w14:paraId="7C90CF3C" w14:textId="77777777" w:rsidR="001F22E6" w:rsidRPr="00133962" w:rsidRDefault="001F22E6" w:rsidP="001F22E6">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 </w:t>
            </w:r>
            <w:r>
              <w:rPr>
                <w:rFonts w:hint="cs"/>
                <w:sz w:val="16"/>
                <w:szCs w:val="16"/>
              </w:rPr>
              <w:t>E</w:t>
            </w:r>
            <w:r>
              <w:rPr>
                <w:sz w:val="16"/>
                <w:szCs w:val="16"/>
              </w:rPr>
              <w:t>lul 1</w:t>
            </w:r>
            <w:r w:rsidRPr="00133962">
              <w:rPr>
                <w:sz w:val="16"/>
                <w:szCs w:val="16"/>
              </w:rPr>
              <w:t>, 5781</w:t>
            </w:r>
          </w:p>
        </w:tc>
        <w:tc>
          <w:tcPr>
            <w:tcW w:w="2772" w:type="dxa"/>
            <w:gridSpan w:val="6"/>
            <w:tcBorders>
              <w:top w:val="single" w:sz="4" w:space="0" w:color="auto"/>
              <w:bottom w:val="single" w:sz="4" w:space="0" w:color="auto"/>
            </w:tcBorders>
            <w:vAlign w:val="center"/>
          </w:tcPr>
          <w:p w14:paraId="5A6B1978" w14:textId="77777777" w:rsidR="001F22E6" w:rsidRPr="00133962" w:rsidRDefault="001F22E6" w:rsidP="001F22E6">
            <w:pPr>
              <w:pStyle w:val="NormalWeb"/>
              <w:spacing w:before="0" w:beforeAutospacing="0" w:after="0" w:afterAutospacing="0"/>
              <w:ind w:left="73"/>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2614" w:type="dxa"/>
            <w:gridSpan w:val="6"/>
            <w:tcBorders>
              <w:bottom w:val="single" w:sz="4" w:space="0" w:color="auto"/>
            </w:tcBorders>
            <w:vAlign w:val="center"/>
          </w:tcPr>
          <w:p w14:paraId="59BD075B" w14:textId="77777777" w:rsidR="001F22E6" w:rsidRPr="00C24E7B" w:rsidRDefault="001F22E6" w:rsidP="001F22E6">
            <w:pPr>
              <w:bidi w:val="0"/>
              <w:ind w:left="34" w:right="34"/>
              <w:contextualSpacing/>
              <w:jc w:val="center"/>
              <w:rPr>
                <w:b/>
                <w:bCs/>
                <w:sz w:val="6"/>
                <w:szCs w:val="6"/>
              </w:rPr>
            </w:pPr>
          </w:p>
          <w:p w14:paraId="43D00414" w14:textId="77777777" w:rsidR="001F22E6" w:rsidRPr="00670DBD" w:rsidRDefault="001F22E6" w:rsidP="001F22E6">
            <w:pPr>
              <w:tabs>
                <w:tab w:val="left" w:pos="743"/>
              </w:tabs>
              <w:ind w:left="284" w:right="135"/>
              <w:jc w:val="center"/>
              <w:rPr>
                <w:sz w:val="16"/>
                <w:szCs w:val="16"/>
                <w:rtl/>
              </w:rPr>
            </w:pPr>
            <w:r w:rsidRPr="00670DBD">
              <w:rPr>
                <w:sz w:val="16"/>
                <w:szCs w:val="16"/>
              </w:rPr>
              <w:t xml:space="preserve">R' </w:t>
            </w:r>
            <w:r w:rsidRPr="00670DBD">
              <w:rPr>
                <w:b/>
                <w:bCs/>
                <w:sz w:val="16"/>
                <w:szCs w:val="16"/>
              </w:rPr>
              <w:t xml:space="preserve">Yitzchak Eliezer </w:t>
            </w:r>
            <w:r w:rsidRPr="00670DBD">
              <w:rPr>
                <w:sz w:val="16"/>
                <w:szCs w:val="16"/>
              </w:rPr>
              <w:t xml:space="preserve">ben Avraham Mordechai </w:t>
            </w:r>
            <w:r w:rsidRPr="00670DBD">
              <w:rPr>
                <w:b/>
                <w:bCs/>
                <w:sz w:val="16"/>
                <w:szCs w:val="16"/>
              </w:rPr>
              <w:t>Jacobson</w:t>
            </w:r>
            <w:r w:rsidRPr="00670DBD">
              <w:rPr>
                <w:sz w:val="16"/>
                <w:szCs w:val="16"/>
              </w:rPr>
              <w:t xml:space="preserve"> </w:t>
            </w:r>
            <w:proofErr w:type="spellStart"/>
            <w:r w:rsidRPr="00670DBD">
              <w:rPr>
                <w:sz w:val="16"/>
                <w:szCs w:val="16"/>
              </w:rPr>
              <w:t>z"l</w:t>
            </w:r>
            <w:proofErr w:type="spellEnd"/>
            <w:r w:rsidRPr="00670DBD">
              <w:rPr>
                <w:sz w:val="16"/>
                <w:szCs w:val="16"/>
              </w:rPr>
              <w:t>, Elul 15</w:t>
            </w:r>
          </w:p>
          <w:p w14:paraId="1E393AD3" w14:textId="77777777" w:rsidR="001F22E6" w:rsidRPr="00133962" w:rsidRDefault="001F22E6" w:rsidP="001F22E6">
            <w:pPr>
              <w:pStyle w:val="NormalWeb"/>
              <w:spacing w:before="0" w:beforeAutospacing="0" w:after="0" w:afterAutospacing="0"/>
              <w:ind w:left="357" w:right="357"/>
              <w:jc w:val="center"/>
              <w:rPr>
                <w:sz w:val="4"/>
                <w:szCs w:val="4"/>
              </w:rPr>
            </w:pPr>
          </w:p>
        </w:tc>
        <w:tc>
          <w:tcPr>
            <w:tcW w:w="2546" w:type="dxa"/>
            <w:gridSpan w:val="2"/>
            <w:tcBorders>
              <w:top w:val="single" w:sz="4" w:space="0" w:color="auto"/>
              <w:bottom w:val="single" w:sz="4" w:space="0" w:color="auto"/>
            </w:tcBorders>
            <w:vAlign w:val="center"/>
          </w:tcPr>
          <w:p w14:paraId="1492760A" w14:textId="77777777" w:rsidR="001F22E6" w:rsidRPr="00133962" w:rsidRDefault="001F22E6" w:rsidP="001F22E6">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51C718C0" w14:textId="77777777" w:rsidR="001F22E6" w:rsidRPr="00133962" w:rsidRDefault="001F22E6" w:rsidP="001F22E6">
            <w:pPr>
              <w:bidi w:val="0"/>
              <w:jc w:val="center"/>
              <w:rPr>
                <w:sz w:val="4"/>
                <w:szCs w:val="4"/>
              </w:rPr>
            </w:pPr>
            <w:r w:rsidRPr="00133962">
              <w:rPr>
                <w:sz w:val="16"/>
                <w:szCs w:val="16"/>
              </w:rPr>
              <w:t>Tevet 25 5782 / Tamuz 10 5774</w:t>
            </w:r>
          </w:p>
        </w:tc>
      </w:tr>
      <w:tr w:rsidR="001F22E6" w:rsidRPr="003D2153" w14:paraId="6541C7EA" w14:textId="77777777" w:rsidTr="001F22E6">
        <w:trPr>
          <w:trHeight w:val="534"/>
        </w:trPr>
        <w:tc>
          <w:tcPr>
            <w:tcW w:w="11220" w:type="dxa"/>
            <w:gridSpan w:val="17"/>
            <w:tcBorders>
              <w:top w:val="single" w:sz="4" w:space="0" w:color="auto"/>
              <w:bottom w:val="single" w:sz="4" w:space="0" w:color="auto"/>
            </w:tcBorders>
            <w:vAlign w:val="center"/>
          </w:tcPr>
          <w:p w14:paraId="42B4D8B5" w14:textId="77777777" w:rsidR="001F22E6" w:rsidRPr="001B6D29" w:rsidRDefault="001F22E6" w:rsidP="001F22E6">
            <w:pPr>
              <w:bidi w:val="0"/>
              <w:ind w:left="34" w:right="34"/>
              <w:contextualSpacing/>
              <w:jc w:val="center"/>
              <w:rPr>
                <w:b/>
                <w:bCs/>
                <w:sz w:val="6"/>
                <w:szCs w:val="6"/>
              </w:rPr>
            </w:pPr>
          </w:p>
          <w:p w14:paraId="2EEA65D5" w14:textId="77777777" w:rsidR="001F22E6" w:rsidRPr="001B6D29" w:rsidRDefault="001F22E6" w:rsidP="001F22E6">
            <w:pPr>
              <w:tabs>
                <w:tab w:val="left" w:pos="743"/>
              </w:tabs>
              <w:bidi w:val="0"/>
              <w:ind w:right="34"/>
              <w:jc w:val="center"/>
              <w:rPr>
                <w:rFonts w:cs="Miriam"/>
                <w:b/>
                <w:bCs/>
                <w:sz w:val="16"/>
                <w:szCs w:val="16"/>
                <w:lang w:eastAsia="he-IL"/>
              </w:rPr>
            </w:pPr>
            <w:r w:rsidRPr="001B6D29">
              <w:rPr>
                <w:rFonts w:cs="Miriam"/>
                <w:b/>
                <w:bCs/>
                <w:sz w:val="16"/>
                <w:szCs w:val="16"/>
                <w:lang w:eastAsia="he-IL"/>
              </w:rPr>
              <w:t xml:space="preserve">Mr. Yitzhak </w:t>
            </w:r>
            <w:proofErr w:type="spellStart"/>
            <w:r w:rsidRPr="001B6D29">
              <w:rPr>
                <w:rFonts w:cs="Miriam"/>
                <w:b/>
                <w:bCs/>
                <w:sz w:val="16"/>
                <w:szCs w:val="16"/>
                <w:lang w:eastAsia="he-IL"/>
              </w:rPr>
              <w:t>Aharon</w:t>
            </w:r>
            <w:proofErr w:type="spellEnd"/>
            <w:r w:rsidRPr="001B6D29">
              <w:rPr>
                <w:rFonts w:cs="Miriam"/>
                <w:b/>
                <w:bCs/>
                <w:sz w:val="16"/>
                <w:szCs w:val="16"/>
                <w:lang w:eastAsia="he-IL"/>
              </w:rPr>
              <w:t xml:space="preserve"> &amp; Mrs. </w:t>
            </w:r>
            <w:proofErr w:type="spellStart"/>
            <w:r w:rsidRPr="001B6D29">
              <w:rPr>
                <w:rFonts w:cs="Miriam"/>
                <w:b/>
                <w:bCs/>
                <w:sz w:val="16"/>
                <w:szCs w:val="16"/>
                <w:lang w:eastAsia="he-IL"/>
              </w:rPr>
              <w:t>Doba</w:t>
            </w:r>
            <w:proofErr w:type="spellEnd"/>
            <w:r w:rsidRPr="001B6D29">
              <w:rPr>
                <w:rFonts w:cs="Miriam"/>
                <w:b/>
                <w:bCs/>
                <w:sz w:val="16"/>
                <w:szCs w:val="16"/>
                <w:lang w:eastAsia="he-IL"/>
              </w:rPr>
              <w:t xml:space="preserve"> </w:t>
            </w:r>
            <w:proofErr w:type="spellStart"/>
            <w:r w:rsidRPr="001B6D29">
              <w:rPr>
                <w:rFonts w:cs="Miriam"/>
                <w:b/>
                <w:bCs/>
                <w:sz w:val="16"/>
                <w:szCs w:val="16"/>
                <w:lang w:eastAsia="he-IL"/>
              </w:rPr>
              <w:t>Moinester</w:t>
            </w:r>
            <w:proofErr w:type="spellEnd"/>
            <w:r w:rsidRPr="001B6D29">
              <w:rPr>
                <w:rFonts w:cs="Miriam"/>
                <w:b/>
                <w:bCs/>
                <w:sz w:val="16"/>
                <w:szCs w:val="16"/>
                <w:lang w:eastAsia="he-IL"/>
              </w:rPr>
              <w:t xml:space="preserve"> </w:t>
            </w:r>
            <w:proofErr w:type="spellStart"/>
            <w:r w:rsidRPr="001B6D29">
              <w:rPr>
                <w:rFonts w:cs="Miriam"/>
                <w:b/>
                <w:bCs/>
                <w:sz w:val="16"/>
                <w:szCs w:val="16"/>
                <w:lang w:eastAsia="he-IL"/>
              </w:rPr>
              <w:t>z"l</w:t>
            </w:r>
            <w:proofErr w:type="spellEnd"/>
          </w:p>
          <w:p w14:paraId="71515A31" w14:textId="77777777" w:rsidR="001F22E6" w:rsidRPr="001B6D29" w:rsidRDefault="001F22E6" w:rsidP="001F22E6">
            <w:pPr>
              <w:tabs>
                <w:tab w:val="left" w:pos="743"/>
              </w:tabs>
              <w:bidi w:val="0"/>
              <w:ind w:right="34"/>
              <w:jc w:val="center"/>
              <w:rPr>
                <w:rFonts w:cs="Miriam"/>
                <w:b/>
                <w:bCs/>
                <w:sz w:val="16"/>
                <w:szCs w:val="16"/>
                <w:lang w:eastAsia="he-IL"/>
              </w:rPr>
            </w:pPr>
            <w:r w:rsidRPr="001B6D29">
              <w:rPr>
                <w:rFonts w:cs="Miriam"/>
                <w:b/>
                <w:bCs/>
                <w:sz w:val="16"/>
                <w:szCs w:val="16"/>
                <w:lang w:eastAsia="he-IL"/>
              </w:rPr>
              <w:t>Elul 5, 5782 / Elul 23, 5774</w:t>
            </w:r>
          </w:p>
          <w:p w14:paraId="58FE0462" w14:textId="77777777" w:rsidR="001F22E6" w:rsidRPr="003D2153" w:rsidRDefault="001F22E6" w:rsidP="001F22E6">
            <w:pPr>
              <w:bidi w:val="0"/>
              <w:ind w:left="34" w:right="34"/>
              <w:contextualSpacing/>
              <w:jc w:val="center"/>
              <w:rPr>
                <w:b/>
                <w:bCs/>
                <w:sz w:val="6"/>
                <w:szCs w:val="6"/>
              </w:rPr>
            </w:pPr>
          </w:p>
          <w:p w14:paraId="23FB03BD" w14:textId="77777777" w:rsidR="001F22E6" w:rsidRPr="00133962" w:rsidRDefault="001F22E6" w:rsidP="001F22E6">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FCB1EDB" w14:textId="77777777" w:rsidR="001F22E6" w:rsidRDefault="001F22E6" w:rsidP="001F22E6">
            <w:pPr>
              <w:bidi w:val="0"/>
              <w:ind w:left="34"/>
              <w:contextualSpacing/>
              <w:jc w:val="cente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p w14:paraId="5E6BB669" w14:textId="77777777" w:rsidR="001F22E6" w:rsidRPr="003D2153" w:rsidRDefault="001F22E6" w:rsidP="001F22E6">
            <w:pPr>
              <w:bidi w:val="0"/>
              <w:ind w:left="34"/>
              <w:contextualSpacing/>
              <w:jc w:val="center"/>
              <w:rPr>
                <w:sz w:val="6"/>
                <w:szCs w:val="6"/>
                <w:rtl/>
              </w:rPr>
            </w:pPr>
          </w:p>
        </w:tc>
      </w:tr>
      <w:tr w:rsidR="001F22E6" w:rsidRPr="00133962" w14:paraId="2279F0A7" w14:textId="77777777" w:rsidTr="001F22E6">
        <w:trPr>
          <w:trHeight w:val="373"/>
        </w:trPr>
        <w:tc>
          <w:tcPr>
            <w:tcW w:w="11220" w:type="dxa"/>
            <w:gridSpan w:val="17"/>
            <w:tcBorders>
              <w:top w:val="single" w:sz="4" w:space="0" w:color="auto"/>
            </w:tcBorders>
            <w:vAlign w:val="center"/>
          </w:tcPr>
          <w:p w14:paraId="279F39D2" w14:textId="77777777" w:rsidR="001F22E6" w:rsidRPr="00133962" w:rsidRDefault="001F22E6" w:rsidP="001F22E6">
            <w:pPr>
              <w:bidi w:val="0"/>
              <w:ind w:left="34"/>
              <w:contextualSpacing/>
              <w:jc w:val="center"/>
              <w:rPr>
                <w:sz w:val="16"/>
                <w:szCs w:val="16"/>
              </w:rPr>
            </w:pPr>
            <w:r w:rsidRPr="00133962">
              <w:rPr>
                <w:b/>
                <w:bCs/>
                <w:sz w:val="18"/>
                <w:szCs w:val="18"/>
              </w:rPr>
              <w:t>Those who fell in wars for our homeland. May Hashem avenge their blood!</w:t>
            </w:r>
          </w:p>
        </w:tc>
      </w:tr>
    </w:tbl>
    <w:p w14:paraId="3558477D" w14:textId="30229FEC" w:rsidR="00822426" w:rsidRPr="00706711" w:rsidRDefault="001F22E6" w:rsidP="00822426">
      <w:pPr>
        <w:bidi w:val="0"/>
        <w:ind w:firstLine="426"/>
      </w:pPr>
      <w:r>
        <w:rPr>
          <w:noProof/>
        </w:rPr>
        <w:drawing>
          <wp:anchor distT="0" distB="0" distL="114300" distR="114300" simplePos="0" relativeHeight="251658752" behindDoc="1" locked="0" layoutInCell="1" allowOverlap="1" wp14:anchorId="650FB05C" wp14:editId="3E5C2202">
            <wp:simplePos x="0" y="0"/>
            <wp:positionH relativeFrom="margin">
              <wp:posOffset>-337185</wp:posOffset>
            </wp:positionH>
            <wp:positionV relativeFrom="paragraph">
              <wp:posOffset>300990</wp:posOffset>
            </wp:positionV>
            <wp:extent cx="7498080" cy="377190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771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22426">
        <w:t xml:space="preserve">In these days of Elul, we should remember that Jews are required to be merciful, as many of our forebears were. At the time of </w:t>
      </w:r>
      <w:proofErr w:type="spellStart"/>
      <w:r w:rsidR="00822426">
        <w:t>Achav</w:t>
      </w:r>
      <w:proofErr w:type="spellEnd"/>
      <w:r w:rsidR="00822426">
        <w:t xml:space="preserve">, </w:t>
      </w:r>
      <w:r w:rsidR="00822426">
        <w:rPr>
          <w:i/>
          <w:iCs/>
        </w:rPr>
        <w:t>Am Yisrael</w:t>
      </w:r>
      <w:r w:rsidR="00822426">
        <w:t xml:space="preserve"> were victorious in battle because they were unified. May we once again excel at this and have full success in fighting our vicious enemies.  </w:t>
      </w:r>
    </w:p>
    <w:bookmarkEnd w:id="1"/>
    <w:p w14:paraId="72DD81B6" w14:textId="46FE9839" w:rsidR="00034F59" w:rsidRDefault="005F2BD9" w:rsidP="004A359E">
      <w:pPr>
        <w:bidi w:val="0"/>
        <w:ind w:firstLine="426"/>
        <w:jc w:val="center"/>
      </w:pPr>
      <w:r>
        <w:rPr>
          <w:noProof/>
        </w:rPr>
        <w:drawing>
          <wp:anchor distT="0" distB="0" distL="114300" distR="114300" simplePos="0" relativeHeight="251661824" behindDoc="0" locked="1" layoutInCell="1" allowOverlap="1" wp14:anchorId="44C1587F" wp14:editId="5AB46536">
            <wp:simplePos x="0" y="0"/>
            <wp:positionH relativeFrom="margin">
              <wp:posOffset>1986915</wp:posOffset>
            </wp:positionH>
            <wp:positionV relativeFrom="margin">
              <wp:posOffset>9241790</wp:posOffset>
            </wp:positionV>
            <wp:extent cx="2712720" cy="560705"/>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12720" cy="56070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2" w:name="_Hlk174962969"/>
      <w:bookmarkEnd w:id="2"/>
    </w:p>
    <w:p w14:paraId="6E474082" w14:textId="6D9D5766" w:rsidR="00034F59" w:rsidRDefault="00034F59" w:rsidP="00034F59">
      <w:pPr>
        <w:tabs>
          <w:tab w:val="left" w:pos="1803"/>
        </w:tabs>
        <w:bidi w:val="0"/>
      </w:pPr>
    </w:p>
    <w:p w14:paraId="3F4BDB08" w14:textId="2588C456" w:rsidR="00034F59" w:rsidRDefault="00034F59" w:rsidP="00034F59">
      <w:pPr>
        <w:tabs>
          <w:tab w:val="left" w:pos="1803"/>
        </w:tabs>
        <w:bidi w:val="0"/>
      </w:pPr>
    </w:p>
    <w:p w14:paraId="0AE0CE9E" w14:textId="6D633FCA" w:rsidR="00711BAF" w:rsidRDefault="00711BAF" w:rsidP="00711BAF">
      <w:pPr>
        <w:tabs>
          <w:tab w:val="left" w:pos="1803"/>
        </w:tabs>
        <w:bidi w:val="0"/>
      </w:pPr>
    </w:p>
    <w:p w14:paraId="139311A9" w14:textId="0C193BD1" w:rsidR="00711BAF" w:rsidRDefault="00711BAF" w:rsidP="00711BAF">
      <w:pPr>
        <w:tabs>
          <w:tab w:val="left" w:pos="1803"/>
        </w:tabs>
        <w:bidi w:val="0"/>
      </w:pPr>
    </w:p>
    <w:p w14:paraId="7FCD75A2" w14:textId="7EA5DEF0" w:rsidR="002969AE" w:rsidRDefault="002969AE" w:rsidP="00034F59">
      <w:pPr>
        <w:tabs>
          <w:tab w:val="left" w:pos="1803"/>
        </w:tabs>
        <w:bidi w:val="0"/>
      </w:pPr>
    </w:p>
    <w:p w14:paraId="54766001" w14:textId="140A206C" w:rsidR="002969AE" w:rsidRDefault="005B7AD3" w:rsidP="002969AE">
      <w:pPr>
        <w:tabs>
          <w:tab w:val="left" w:pos="1803"/>
        </w:tabs>
        <w:bidi w:val="0"/>
      </w:pPr>
      <w:r>
        <w:rPr>
          <w:noProof/>
        </w:rPr>
        <w:drawing>
          <wp:anchor distT="0" distB="0" distL="114300" distR="114300" simplePos="0" relativeHeight="251663872" behindDoc="0" locked="1" layoutInCell="1" allowOverlap="1" wp14:anchorId="638A7A2B" wp14:editId="2508C147">
            <wp:simplePos x="0" y="0"/>
            <wp:positionH relativeFrom="margin">
              <wp:align>left</wp:align>
            </wp:positionH>
            <wp:positionV relativeFrom="paragraph">
              <wp:posOffset>-240665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6B4E2F" w14:textId="77777777" w:rsidR="004A359E" w:rsidRDefault="004A359E" w:rsidP="002969AE">
      <w:pPr>
        <w:tabs>
          <w:tab w:val="left" w:pos="1803"/>
        </w:tabs>
        <w:bidi w:val="0"/>
      </w:pPr>
    </w:p>
    <w:p w14:paraId="652402EB" w14:textId="5B6EF2F3" w:rsidR="00040676" w:rsidRDefault="00040676" w:rsidP="004A359E">
      <w:pPr>
        <w:tabs>
          <w:tab w:val="left" w:pos="1803"/>
        </w:tabs>
        <w:bidi w:val="0"/>
      </w:pPr>
      <w:r>
        <w:t>by Rav Daniel Mann</w:t>
      </w:r>
    </w:p>
    <w:p w14:paraId="3190E0CA" w14:textId="77777777" w:rsidR="00C658FD" w:rsidRDefault="00C658FD" w:rsidP="00C658FD">
      <w:pPr>
        <w:bidi w:val="0"/>
        <w:rPr>
          <w:b/>
          <w:bCs/>
          <w:color w:val="D85640"/>
          <w:sz w:val="28"/>
          <w:szCs w:val="28"/>
        </w:rPr>
      </w:pPr>
    </w:p>
    <w:p w14:paraId="0CB5F1DC" w14:textId="77777777" w:rsidR="00BF05D1" w:rsidRPr="009E666D" w:rsidRDefault="00BF05D1" w:rsidP="00BF05D1">
      <w:pPr>
        <w:bidi w:val="0"/>
        <w:rPr>
          <w:b/>
          <w:bCs/>
          <w:i/>
          <w:iCs/>
        </w:rPr>
      </w:pPr>
      <w:bookmarkStart w:id="3" w:name="_Hlk204943566"/>
      <w:r>
        <w:rPr>
          <w:b/>
          <w:bCs/>
          <w:color w:val="D85640"/>
          <w:sz w:val="28"/>
          <w:szCs w:val="28"/>
        </w:rPr>
        <w:t xml:space="preserve">Omitting </w:t>
      </w:r>
      <w:r>
        <w:rPr>
          <w:b/>
          <w:bCs/>
          <w:i/>
          <w:iCs/>
          <w:color w:val="D85640"/>
          <w:sz w:val="28"/>
          <w:szCs w:val="28"/>
        </w:rPr>
        <w:t>Tachanun</w:t>
      </w:r>
      <w:r>
        <w:rPr>
          <w:b/>
          <w:bCs/>
          <w:color w:val="D85640"/>
          <w:sz w:val="28"/>
          <w:szCs w:val="28"/>
        </w:rPr>
        <w:t xml:space="preserve"> in </w:t>
      </w:r>
      <w:proofErr w:type="spellStart"/>
      <w:r>
        <w:rPr>
          <w:b/>
          <w:bCs/>
          <w:i/>
          <w:iCs/>
          <w:color w:val="D85640"/>
          <w:sz w:val="28"/>
          <w:szCs w:val="28"/>
        </w:rPr>
        <w:t>Selichot</w:t>
      </w:r>
      <w:proofErr w:type="spellEnd"/>
      <w:r>
        <w:rPr>
          <w:b/>
          <w:bCs/>
          <w:color w:val="D85640"/>
          <w:sz w:val="28"/>
          <w:szCs w:val="28"/>
        </w:rPr>
        <w:t xml:space="preserve"> in the Presence of </w:t>
      </w:r>
      <w:r>
        <w:rPr>
          <w:b/>
          <w:bCs/>
          <w:i/>
          <w:iCs/>
          <w:color w:val="D85640"/>
          <w:sz w:val="28"/>
          <w:szCs w:val="28"/>
        </w:rPr>
        <w:t>Simcha</w:t>
      </w:r>
      <w:r>
        <w:rPr>
          <w:b/>
          <w:bCs/>
          <w:color w:val="D85640"/>
          <w:sz w:val="28"/>
          <w:szCs w:val="28"/>
        </w:rPr>
        <w:t xml:space="preserve"> </w:t>
      </w:r>
    </w:p>
    <w:p w14:paraId="3B0C3FBE" w14:textId="77777777" w:rsidR="00BF05D1" w:rsidRPr="002822FD" w:rsidRDefault="00BF05D1" w:rsidP="00377FAE">
      <w:pPr>
        <w:bidi w:val="0"/>
        <w:rPr>
          <w:b/>
          <w:bCs/>
          <w:color w:val="D85640"/>
        </w:rPr>
      </w:pPr>
    </w:p>
    <w:p w14:paraId="5FF6260D" w14:textId="77777777" w:rsidR="00BF05D1" w:rsidRPr="009E666D" w:rsidRDefault="00BF05D1" w:rsidP="00377FAE">
      <w:pPr>
        <w:shd w:val="clear" w:color="auto" w:fill="FFFFFF"/>
        <w:bidi w:val="0"/>
        <w:rPr>
          <w:color w:val="222222"/>
        </w:rPr>
      </w:pPr>
      <w:r w:rsidRPr="00BF05D1">
        <w:rPr>
          <w:b/>
          <w:bCs/>
          <w:color w:val="D85640"/>
          <w:sz w:val="24"/>
          <w:szCs w:val="24"/>
          <w:u w:val="single"/>
        </w:rPr>
        <w:t>Question</w:t>
      </w:r>
      <w:r w:rsidRPr="00BF05D1">
        <w:rPr>
          <w:b/>
          <w:bCs/>
          <w:color w:val="D85640"/>
          <w:sz w:val="24"/>
          <w:szCs w:val="24"/>
        </w:rPr>
        <w:t>:</w:t>
      </w:r>
      <w:r w:rsidRPr="00BF05D1">
        <w:rPr>
          <w:sz w:val="24"/>
          <w:szCs w:val="24"/>
        </w:rPr>
        <w:t xml:space="preserve"> </w:t>
      </w:r>
      <w:r>
        <w:rPr>
          <w:color w:val="222222"/>
          <w:shd w:val="clear" w:color="auto" w:fill="FFFFFF"/>
        </w:rPr>
        <w:t>At our pre-</w:t>
      </w:r>
      <w:r>
        <w:rPr>
          <w:i/>
          <w:iCs/>
          <w:color w:val="222222"/>
          <w:shd w:val="clear" w:color="auto" w:fill="FFFFFF"/>
        </w:rPr>
        <w:t>Shacharit</w:t>
      </w:r>
      <w:r>
        <w:rPr>
          <w:color w:val="222222"/>
          <w:shd w:val="clear" w:color="auto" w:fill="FFFFFF"/>
        </w:rPr>
        <w:t xml:space="preserve"> </w:t>
      </w:r>
      <w:proofErr w:type="spellStart"/>
      <w:r>
        <w:rPr>
          <w:i/>
          <w:iCs/>
          <w:color w:val="222222"/>
          <w:shd w:val="clear" w:color="auto" w:fill="FFFFFF"/>
        </w:rPr>
        <w:t>Selichot</w:t>
      </w:r>
      <w:proofErr w:type="spellEnd"/>
      <w:r>
        <w:rPr>
          <w:color w:val="222222"/>
          <w:shd w:val="clear" w:color="auto" w:fill="FFFFFF"/>
        </w:rPr>
        <w:t xml:space="preserve"> during Elul, do we omit </w:t>
      </w:r>
      <w:r>
        <w:rPr>
          <w:i/>
          <w:iCs/>
          <w:color w:val="222222"/>
          <w:shd w:val="clear" w:color="auto" w:fill="FFFFFF"/>
        </w:rPr>
        <w:t>Tachanun</w:t>
      </w:r>
      <w:r>
        <w:rPr>
          <w:color w:val="222222"/>
          <w:shd w:val="clear" w:color="auto" w:fill="FFFFFF"/>
        </w:rPr>
        <w:t xml:space="preserve"> if a </w:t>
      </w:r>
      <w:proofErr w:type="spellStart"/>
      <w:r>
        <w:rPr>
          <w:i/>
          <w:iCs/>
          <w:color w:val="222222"/>
          <w:shd w:val="clear" w:color="auto" w:fill="FFFFFF"/>
        </w:rPr>
        <w:t>chatan</w:t>
      </w:r>
      <w:proofErr w:type="spellEnd"/>
      <w:r>
        <w:rPr>
          <w:color w:val="222222"/>
          <w:shd w:val="clear" w:color="auto" w:fill="FFFFFF"/>
        </w:rPr>
        <w:t xml:space="preserve"> or a principal to a </w:t>
      </w:r>
      <w:r>
        <w:rPr>
          <w:i/>
          <w:iCs/>
          <w:color w:val="222222"/>
          <w:shd w:val="clear" w:color="auto" w:fill="FFFFFF"/>
        </w:rPr>
        <w:t xml:space="preserve">brit </w:t>
      </w:r>
      <w:proofErr w:type="spellStart"/>
      <w:r>
        <w:rPr>
          <w:i/>
          <w:iCs/>
          <w:color w:val="222222"/>
          <w:shd w:val="clear" w:color="auto" w:fill="FFFFFF"/>
        </w:rPr>
        <w:t>mila</w:t>
      </w:r>
      <w:proofErr w:type="spellEnd"/>
      <w:r>
        <w:rPr>
          <w:color w:val="222222"/>
          <w:shd w:val="clear" w:color="auto" w:fill="FFFFFF"/>
        </w:rPr>
        <w:t xml:space="preserve"> is present, as we omit it during </w:t>
      </w:r>
      <w:r>
        <w:rPr>
          <w:i/>
          <w:iCs/>
          <w:color w:val="222222"/>
          <w:shd w:val="clear" w:color="auto" w:fill="FFFFFF"/>
        </w:rPr>
        <w:t>Shacharit</w:t>
      </w:r>
      <w:r>
        <w:rPr>
          <w:color w:val="222222"/>
          <w:shd w:val="clear" w:color="auto" w:fill="FFFFFF"/>
        </w:rPr>
        <w:t xml:space="preserve">? </w:t>
      </w:r>
      <w:bookmarkEnd w:id="3"/>
      <w:r w:rsidRPr="009E666D">
        <w:rPr>
          <w:color w:val="222222"/>
          <w:shd w:val="clear" w:color="auto" w:fill="FFFFFF"/>
        </w:rPr>
        <w:t xml:space="preserve"> </w:t>
      </w:r>
    </w:p>
    <w:p w14:paraId="011EAC40" w14:textId="77777777" w:rsidR="00BF05D1" w:rsidRPr="002C1B93" w:rsidRDefault="00BF05D1" w:rsidP="00377FAE">
      <w:pPr>
        <w:bidi w:val="0"/>
      </w:pPr>
    </w:p>
    <w:p w14:paraId="10C2B977" w14:textId="77777777" w:rsidR="00BF05D1" w:rsidRDefault="00BF05D1" w:rsidP="00377FAE">
      <w:pPr>
        <w:bidi w:val="0"/>
        <w:ind w:right="26"/>
      </w:pPr>
      <w:r w:rsidRPr="00BF05D1">
        <w:rPr>
          <w:b/>
          <w:bCs/>
          <w:color w:val="D85640"/>
          <w:sz w:val="24"/>
          <w:szCs w:val="24"/>
          <w:u w:val="single"/>
        </w:rPr>
        <w:t>Answer</w:t>
      </w:r>
      <w:r w:rsidRPr="00BF05D1">
        <w:rPr>
          <w:b/>
          <w:bCs/>
          <w:color w:val="D85640"/>
          <w:sz w:val="24"/>
          <w:szCs w:val="24"/>
        </w:rPr>
        <w:t>:</w:t>
      </w:r>
      <w:r w:rsidRPr="00BF05D1">
        <w:rPr>
          <w:sz w:val="24"/>
          <w:szCs w:val="24"/>
        </w:rPr>
        <w:t xml:space="preserve"> </w:t>
      </w:r>
      <w:r>
        <w:t xml:space="preserve">The Shulchan </w:t>
      </w:r>
      <w:proofErr w:type="spellStart"/>
      <w:r>
        <w:t>Aruch</w:t>
      </w:r>
      <w:proofErr w:type="spellEnd"/>
      <w:r>
        <w:t xml:space="preserve"> (</w:t>
      </w:r>
      <w:proofErr w:type="spellStart"/>
      <w:r>
        <w:t>Orach</w:t>
      </w:r>
      <w:proofErr w:type="spellEnd"/>
      <w:r>
        <w:t xml:space="preserve"> Chayim 131:4) rules to omit </w:t>
      </w:r>
      <w:r>
        <w:rPr>
          <w:i/>
          <w:iCs/>
        </w:rPr>
        <w:t>Tachanun</w:t>
      </w:r>
      <w:r>
        <w:t xml:space="preserve"> in the “house of a </w:t>
      </w:r>
      <w:proofErr w:type="spellStart"/>
      <w:r>
        <w:rPr>
          <w:i/>
          <w:iCs/>
        </w:rPr>
        <w:t>chatan</w:t>
      </w:r>
      <w:proofErr w:type="spellEnd"/>
      <w:r>
        <w:t xml:space="preserve">,” a </w:t>
      </w:r>
      <w:r>
        <w:rPr>
          <w:i/>
          <w:iCs/>
        </w:rPr>
        <w:t xml:space="preserve">shul </w:t>
      </w:r>
      <w:r>
        <w:t xml:space="preserve">that will host a </w:t>
      </w:r>
      <w:r>
        <w:rPr>
          <w:i/>
          <w:iCs/>
        </w:rPr>
        <w:t xml:space="preserve">brit </w:t>
      </w:r>
      <w:r>
        <w:t xml:space="preserve">that day, and a </w:t>
      </w:r>
      <w:r>
        <w:rPr>
          <w:i/>
          <w:iCs/>
        </w:rPr>
        <w:t>shul</w:t>
      </w:r>
      <w:r>
        <w:t xml:space="preserve"> which a </w:t>
      </w:r>
      <w:proofErr w:type="spellStart"/>
      <w:r>
        <w:rPr>
          <w:i/>
          <w:iCs/>
        </w:rPr>
        <w:t>chatan</w:t>
      </w:r>
      <w:proofErr w:type="spellEnd"/>
      <w:r>
        <w:rPr>
          <w:i/>
          <w:iCs/>
        </w:rPr>
        <w:t xml:space="preserve"> </w:t>
      </w:r>
      <w:r>
        <w:t xml:space="preserve">is attending. While the Rama (ad loc.) says that only a </w:t>
      </w:r>
      <w:proofErr w:type="spellStart"/>
      <w:r>
        <w:rPr>
          <w:i/>
          <w:iCs/>
        </w:rPr>
        <w:t>chatan</w:t>
      </w:r>
      <w:proofErr w:type="spellEnd"/>
      <w:r>
        <w:t xml:space="preserve"> on his wedding day pushes off </w:t>
      </w:r>
      <w:r>
        <w:rPr>
          <w:i/>
          <w:iCs/>
        </w:rPr>
        <w:t>Tachanun</w:t>
      </w:r>
      <w:r>
        <w:t xml:space="preserve">, </w:t>
      </w:r>
      <w:proofErr w:type="spellStart"/>
      <w:r>
        <w:rPr>
          <w:i/>
          <w:iCs/>
        </w:rPr>
        <w:t>Acharonim</w:t>
      </w:r>
      <w:proofErr w:type="spellEnd"/>
      <w:r>
        <w:t xml:space="preserve"> rule that it applies throughout the week of </w:t>
      </w:r>
      <w:r>
        <w:rPr>
          <w:i/>
          <w:iCs/>
        </w:rPr>
        <w:t xml:space="preserve">Sheva </w:t>
      </w:r>
      <w:proofErr w:type="spellStart"/>
      <w:r>
        <w:rPr>
          <w:i/>
          <w:iCs/>
        </w:rPr>
        <w:t>Berachot</w:t>
      </w:r>
      <w:proofErr w:type="spellEnd"/>
      <w:r>
        <w:t xml:space="preserve"> (Mishna </w:t>
      </w:r>
      <w:proofErr w:type="spellStart"/>
      <w:r>
        <w:t>Berura</w:t>
      </w:r>
      <w:proofErr w:type="spellEnd"/>
      <w:r>
        <w:t xml:space="preserve"> 131:26), which is the </w:t>
      </w:r>
      <w:r>
        <w:rPr>
          <w:i/>
          <w:iCs/>
        </w:rPr>
        <w:t>minhag</w:t>
      </w:r>
      <w:r>
        <w:t xml:space="preserve">. The </w:t>
      </w:r>
      <w:r>
        <w:rPr>
          <w:i/>
          <w:iCs/>
        </w:rPr>
        <w:t>minhag</w:t>
      </w:r>
      <w:r>
        <w:t xml:space="preserve"> is also to push off </w:t>
      </w:r>
      <w:r>
        <w:rPr>
          <w:i/>
          <w:iCs/>
        </w:rPr>
        <w:t>Tachanun</w:t>
      </w:r>
      <w:r>
        <w:t xml:space="preserve"> if the father, the planned </w:t>
      </w:r>
      <w:r>
        <w:rPr>
          <w:i/>
          <w:iCs/>
        </w:rPr>
        <w:t>mohel</w:t>
      </w:r>
      <w:r>
        <w:t>,</w:t>
      </w:r>
      <w:r>
        <w:rPr>
          <w:i/>
          <w:iCs/>
        </w:rPr>
        <w:t xml:space="preserve"> </w:t>
      </w:r>
      <w:r>
        <w:t xml:space="preserve">or the </w:t>
      </w:r>
      <w:proofErr w:type="spellStart"/>
      <w:r>
        <w:rPr>
          <w:i/>
          <w:iCs/>
        </w:rPr>
        <w:t>sandek</w:t>
      </w:r>
      <w:proofErr w:type="spellEnd"/>
      <w:r>
        <w:t xml:space="preserve"> of a baby on the day of his </w:t>
      </w:r>
      <w:r>
        <w:rPr>
          <w:i/>
          <w:iCs/>
        </w:rPr>
        <w:t xml:space="preserve">brit </w:t>
      </w:r>
      <w:r>
        <w:t xml:space="preserve">is </w:t>
      </w:r>
      <w:r>
        <w:rPr>
          <w:i/>
          <w:iCs/>
        </w:rPr>
        <w:t xml:space="preserve">davening </w:t>
      </w:r>
      <w:r>
        <w:t xml:space="preserve">there (ibid. 22). The idea is that the </w:t>
      </w:r>
      <w:r>
        <w:rPr>
          <w:i/>
          <w:iCs/>
        </w:rPr>
        <w:t xml:space="preserve">simcha </w:t>
      </w:r>
      <w:r>
        <w:t xml:space="preserve">that the </w:t>
      </w:r>
      <w:proofErr w:type="spellStart"/>
      <w:r>
        <w:rPr>
          <w:i/>
          <w:iCs/>
        </w:rPr>
        <w:t>tzibbur</w:t>
      </w:r>
      <w:proofErr w:type="spellEnd"/>
      <w:r>
        <w:rPr>
          <w:i/>
          <w:iCs/>
        </w:rPr>
        <w:t xml:space="preserve"> </w:t>
      </w:r>
      <w:r>
        <w:t xml:space="preserve">absorbs from these people is incongruous with </w:t>
      </w:r>
      <w:r>
        <w:rPr>
          <w:i/>
          <w:iCs/>
        </w:rPr>
        <w:t>Tachanun</w:t>
      </w:r>
      <w:r>
        <w:t xml:space="preserve">, as we find on happy days throughout the year. While it is not fundamentally severe to say </w:t>
      </w:r>
      <w:r>
        <w:rPr>
          <w:i/>
          <w:iCs/>
        </w:rPr>
        <w:t>Tachanun</w:t>
      </w:r>
      <w:r>
        <w:t xml:space="preserve"> anyway, we have no reason not to follow the </w:t>
      </w:r>
      <w:proofErr w:type="spellStart"/>
      <w:r>
        <w:rPr>
          <w:i/>
          <w:iCs/>
        </w:rPr>
        <w:t>poskim</w:t>
      </w:r>
      <w:r>
        <w:t>’s</w:t>
      </w:r>
      <w:proofErr w:type="spellEnd"/>
      <w:r>
        <w:t xml:space="preserve"> instructions. </w:t>
      </w:r>
    </w:p>
    <w:p w14:paraId="1951D623" w14:textId="77777777" w:rsidR="00BF05D1" w:rsidRDefault="00BF05D1" w:rsidP="00377FAE">
      <w:pPr>
        <w:bidi w:val="0"/>
        <w:ind w:right="26" w:firstLine="540"/>
      </w:pPr>
      <w:r>
        <w:t xml:space="preserve">There is more than one reason not to push off </w:t>
      </w:r>
      <w:r>
        <w:rPr>
          <w:i/>
          <w:iCs/>
        </w:rPr>
        <w:t xml:space="preserve">Tachanun </w:t>
      </w:r>
      <w:r>
        <w:t xml:space="preserve">in this way at </w:t>
      </w:r>
      <w:proofErr w:type="spellStart"/>
      <w:r w:rsidRPr="00E80F5B">
        <w:rPr>
          <w:i/>
          <w:iCs/>
        </w:rPr>
        <w:t>Selichot</w:t>
      </w:r>
      <w:proofErr w:type="spellEnd"/>
      <w:r>
        <w:t xml:space="preserve">. One applies to the </w:t>
      </w:r>
      <w:r>
        <w:rPr>
          <w:i/>
          <w:iCs/>
        </w:rPr>
        <w:t xml:space="preserve">simcha </w:t>
      </w:r>
      <w:r>
        <w:t xml:space="preserve">of </w:t>
      </w:r>
      <w:r>
        <w:rPr>
          <w:i/>
          <w:iCs/>
        </w:rPr>
        <w:t>brit</w:t>
      </w:r>
      <w:r>
        <w:t xml:space="preserve"> if the </w:t>
      </w:r>
      <w:proofErr w:type="spellStart"/>
      <w:r>
        <w:rPr>
          <w:i/>
          <w:iCs/>
        </w:rPr>
        <w:t>Selichot</w:t>
      </w:r>
      <w:proofErr w:type="spellEnd"/>
      <w:r>
        <w:t xml:space="preserve"> finish before daybreak. As opposed to the </w:t>
      </w:r>
      <w:proofErr w:type="spellStart"/>
      <w:r>
        <w:rPr>
          <w:i/>
          <w:iCs/>
        </w:rPr>
        <w:t>chatan</w:t>
      </w:r>
      <w:proofErr w:type="spellEnd"/>
      <w:r>
        <w:t xml:space="preserve">, whose halachic status of </w:t>
      </w:r>
      <w:r>
        <w:rPr>
          <w:i/>
          <w:iCs/>
        </w:rPr>
        <w:t xml:space="preserve">simcha </w:t>
      </w:r>
      <w:r>
        <w:t xml:space="preserve">lasts throughout the entire time period, those related to the </w:t>
      </w:r>
      <w:r>
        <w:rPr>
          <w:i/>
          <w:iCs/>
        </w:rPr>
        <w:t xml:space="preserve">brit </w:t>
      </w:r>
      <w:r>
        <w:t xml:space="preserve">do not have a formal status. Rather, the proximity of the important </w:t>
      </w:r>
      <w:r>
        <w:rPr>
          <w:i/>
          <w:iCs/>
        </w:rPr>
        <w:t xml:space="preserve">mitzva </w:t>
      </w:r>
      <w:r>
        <w:t xml:space="preserve">of </w:t>
      </w:r>
      <w:r>
        <w:rPr>
          <w:i/>
          <w:iCs/>
        </w:rPr>
        <w:t>brit</w:t>
      </w:r>
      <w:r>
        <w:t xml:space="preserve"> conveys through them an atmosphere of joy that precludes </w:t>
      </w:r>
      <w:r>
        <w:rPr>
          <w:i/>
          <w:iCs/>
        </w:rPr>
        <w:t>Tachanun</w:t>
      </w:r>
      <w:r>
        <w:t xml:space="preserve">. The </w:t>
      </w:r>
      <w:proofErr w:type="spellStart"/>
      <w:r>
        <w:t>Pitchei</w:t>
      </w:r>
      <w:proofErr w:type="spellEnd"/>
      <w:r>
        <w:t xml:space="preserve"> Teshuva ((</w:t>
      </w:r>
      <w:proofErr w:type="spellStart"/>
      <w:r>
        <w:t>Isserlin</w:t>
      </w:r>
      <w:proofErr w:type="spellEnd"/>
      <w:r>
        <w:t xml:space="preserve">) 581:1) is among those who posit that if they get up to </w:t>
      </w:r>
      <w:r>
        <w:rPr>
          <w:i/>
          <w:iCs/>
        </w:rPr>
        <w:t>Tachanun</w:t>
      </w:r>
      <w:r>
        <w:t xml:space="preserve"> when it is too early for a </w:t>
      </w:r>
      <w:r>
        <w:rPr>
          <w:i/>
          <w:iCs/>
        </w:rPr>
        <w:t xml:space="preserve">brit </w:t>
      </w:r>
      <w:proofErr w:type="spellStart"/>
      <w:r>
        <w:rPr>
          <w:i/>
          <w:iCs/>
        </w:rPr>
        <w:t>mila</w:t>
      </w:r>
      <w:proofErr w:type="spellEnd"/>
      <w:r>
        <w:t xml:space="preserve">, </w:t>
      </w:r>
      <w:r>
        <w:rPr>
          <w:i/>
          <w:iCs/>
        </w:rPr>
        <w:t>Tachanun</w:t>
      </w:r>
      <w:r>
        <w:t xml:space="preserve"> should be recited. He is unsure what to do between </w:t>
      </w:r>
      <w:proofErr w:type="spellStart"/>
      <w:r>
        <w:rPr>
          <w:i/>
          <w:iCs/>
        </w:rPr>
        <w:t>alot</w:t>
      </w:r>
      <w:proofErr w:type="spellEnd"/>
      <w:r>
        <w:rPr>
          <w:i/>
          <w:iCs/>
        </w:rPr>
        <w:t xml:space="preserve"> </w:t>
      </w:r>
      <w:proofErr w:type="spellStart"/>
      <w:r>
        <w:rPr>
          <w:i/>
          <w:iCs/>
        </w:rPr>
        <w:t>hashachar</w:t>
      </w:r>
      <w:proofErr w:type="spellEnd"/>
      <w:r>
        <w:rPr>
          <w:i/>
          <w:iCs/>
        </w:rPr>
        <w:t xml:space="preserve"> </w:t>
      </w:r>
      <w:r>
        <w:t xml:space="preserve">and </w:t>
      </w:r>
      <w:proofErr w:type="spellStart"/>
      <w:r>
        <w:rPr>
          <w:i/>
          <w:iCs/>
        </w:rPr>
        <w:t>netz</w:t>
      </w:r>
      <w:proofErr w:type="spellEnd"/>
      <w:r>
        <w:rPr>
          <w:i/>
          <w:iCs/>
        </w:rPr>
        <w:t xml:space="preserve"> </w:t>
      </w:r>
      <w:proofErr w:type="spellStart"/>
      <w:r>
        <w:rPr>
          <w:i/>
          <w:iCs/>
        </w:rPr>
        <w:t>hachama</w:t>
      </w:r>
      <w:proofErr w:type="spellEnd"/>
      <w:r>
        <w:t xml:space="preserve">, when the Torah-level </w:t>
      </w:r>
      <w:r>
        <w:rPr>
          <w:i/>
          <w:iCs/>
        </w:rPr>
        <w:t xml:space="preserve">mitzva </w:t>
      </w:r>
      <w:r>
        <w:t xml:space="preserve">of </w:t>
      </w:r>
      <w:proofErr w:type="spellStart"/>
      <w:r>
        <w:rPr>
          <w:i/>
          <w:iCs/>
        </w:rPr>
        <w:t>mila</w:t>
      </w:r>
      <w:proofErr w:type="spellEnd"/>
      <w:r>
        <w:rPr>
          <w:i/>
          <w:iCs/>
        </w:rPr>
        <w:t xml:space="preserve"> </w:t>
      </w:r>
      <w:r>
        <w:t>has begun but the Rabbis required to wait until sunrise (</w:t>
      </w:r>
      <w:proofErr w:type="spellStart"/>
      <w:r>
        <w:rPr>
          <w:rFonts w:hint="cs"/>
        </w:rPr>
        <w:t>M</w:t>
      </w:r>
      <w:r>
        <w:t>egilla</w:t>
      </w:r>
      <w:proofErr w:type="spellEnd"/>
      <w:r>
        <w:t xml:space="preserve"> 20a). </w:t>
      </w:r>
      <w:proofErr w:type="spellStart"/>
      <w:r>
        <w:t>Machazeh</w:t>
      </w:r>
      <w:proofErr w:type="spellEnd"/>
      <w:r>
        <w:t xml:space="preserve"> Avraham (OC I:154) says that since </w:t>
      </w:r>
      <w:proofErr w:type="spellStart"/>
      <w:r>
        <w:rPr>
          <w:i/>
          <w:iCs/>
        </w:rPr>
        <w:t>mila</w:t>
      </w:r>
      <w:proofErr w:type="spellEnd"/>
      <w:r>
        <w:t xml:space="preserve"> at that time is valid </w:t>
      </w:r>
      <w:proofErr w:type="spellStart"/>
      <w:r>
        <w:rPr>
          <w:i/>
          <w:iCs/>
        </w:rPr>
        <w:t>b’di’eved</w:t>
      </w:r>
      <w:proofErr w:type="spellEnd"/>
      <w:r>
        <w:t xml:space="preserve">, </w:t>
      </w:r>
      <w:r>
        <w:rPr>
          <w:i/>
          <w:iCs/>
        </w:rPr>
        <w:t>Tachanun</w:t>
      </w:r>
      <w:r>
        <w:t xml:space="preserve"> is omitted. </w:t>
      </w:r>
    </w:p>
    <w:p w14:paraId="7390BBC4" w14:textId="77777777" w:rsidR="00BF05D1" w:rsidRDefault="00BF05D1" w:rsidP="00377FAE">
      <w:pPr>
        <w:bidi w:val="0"/>
        <w:ind w:right="26" w:firstLine="540"/>
      </w:pPr>
      <w:proofErr w:type="spellStart"/>
      <w:r>
        <w:t>B’tzel</w:t>
      </w:r>
      <w:proofErr w:type="spellEnd"/>
      <w:r>
        <w:t xml:space="preserve"> </w:t>
      </w:r>
      <w:proofErr w:type="spellStart"/>
      <w:r>
        <w:t>Hachochma</w:t>
      </w:r>
      <w:proofErr w:type="spellEnd"/>
      <w:r>
        <w:t xml:space="preserve"> (IV:146) sees the exemption as applying pre-daytime even though </w:t>
      </w:r>
      <w:r>
        <w:rPr>
          <w:i/>
          <w:iCs/>
        </w:rPr>
        <w:t xml:space="preserve">brit </w:t>
      </w:r>
      <w:proofErr w:type="spellStart"/>
      <w:r>
        <w:rPr>
          <w:i/>
          <w:iCs/>
        </w:rPr>
        <w:t>mila</w:t>
      </w:r>
      <w:proofErr w:type="spellEnd"/>
      <w:r>
        <w:rPr>
          <w:i/>
          <w:iCs/>
        </w:rPr>
        <w:t xml:space="preserve"> </w:t>
      </w:r>
      <w:r>
        <w:t xml:space="preserve">must be performed during daytime. He bases this is on the fact that the baby’s status of requiring </w:t>
      </w:r>
      <w:r>
        <w:rPr>
          <w:i/>
          <w:iCs/>
        </w:rPr>
        <w:t xml:space="preserve">brit </w:t>
      </w:r>
      <w:proofErr w:type="spellStart"/>
      <w:r>
        <w:rPr>
          <w:i/>
          <w:iCs/>
        </w:rPr>
        <w:t>mila</w:t>
      </w:r>
      <w:proofErr w:type="spellEnd"/>
      <w:r>
        <w:t xml:space="preserve"> exists from the beginning of the baby’s eighth day, i.e., from the previous night. Arguably, the baby’s halachic status is less relevant than the fact that people have awoken for the day on which the </w:t>
      </w:r>
      <w:r>
        <w:rPr>
          <w:i/>
          <w:iCs/>
        </w:rPr>
        <w:t xml:space="preserve">brit </w:t>
      </w:r>
      <w:r>
        <w:t xml:space="preserve">will take place. It is unclear if according to </w:t>
      </w:r>
      <w:proofErr w:type="spellStart"/>
      <w:r>
        <w:t>B’tzel</w:t>
      </w:r>
      <w:proofErr w:type="spellEnd"/>
      <w:r>
        <w:t xml:space="preserve"> </w:t>
      </w:r>
      <w:proofErr w:type="spellStart"/>
      <w:r>
        <w:t>Hachochma</w:t>
      </w:r>
      <w:proofErr w:type="spellEnd"/>
      <w:r>
        <w:t xml:space="preserve">, we would omit </w:t>
      </w:r>
      <w:r>
        <w:rPr>
          <w:i/>
          <w:iCs/>
        </w:rPr>
        <w:t>Tachanun</w:t>
      </w:r>
      <w:r>
        <w:t xml:space="preserve"> at a late-night </w:t>
      </w:r>
      <w:proofErr w:type="spellStart"/>
      <w:r>
        <w:rPr>
          <w:i/>
          <w:iCs/>
        </w:rPr>
        <w:t>Selichot</w:t>
      </w:r>
      <w:proofErr w:type="spellEnd"/>
      <w:r>
        <w:t xml:space="preserve"> when the </w:t>
      </w:r>
      <w:r>
        <w:rPr>
          <w:i/>
          <w:iCs/>
        </w:rPr>
        <w:t xml:space="preserve">brit </w:t>
      </w:r>
      <w:r>
        <w:t xml:space="preserve">will be the next morning. </w:t>
      </w:r>
    </w:p>
    <w:p w14:paraId="1280357F" w14:textId="77777777" w:rsidR="00BF05D1" w:rsidRPr="00EB00D5" w:rsidRDefault="00BF05D1" w:rsidP="00377FAE">
      <w:pPr>
        <w:bidi w:val="0"/>
        <w:ind w:right="26" w:firstLine="540"/>
      </w:pPr>
      <w:proofErr w:type="spellStart"/>
      <w:r>
        <w:t>Shevet</w:t>
      </w:r>
      <w:proofErr w:type="spellEnd"/>
      <w:r>
        <w:t xml:space="preserve"> Halevi (IV:54) succinctly presents a broader reason not to skip </w:t>
      </w:r>
      <w:r>
        <w:rPr>
          <w:i/>
          <w:iCs/>
        </w:rPr>
        <w:t>Tachanun</w:t>
      </w:r>
      <w:r>
        <w:t xml:space="preserve"> for a </w:t>
      </w:r>
      <w:r>
        <w:rPr>
          <w:i/>
          <w:iCs/>
        </w:rPr>
        <w:t xml:space="preserve">brit </w:t>
      </w:r>
      <w:r>
        <w:t xml:space="preserve">or a </w:t>
      </w:r>
      <w:proofErr w:type="spellStart"/>
      <w:r>
        <w:rPr>
          <w:i/>
          <w:iCs/>
        </w:rPr>
        <w:t>chatan</w:t>
      </w:r>
      <w:proofErr w:type="spellEnd"/>
      <w:r>
        <w:t xml:space="preserve">, upon which we will expand. Unquestionably, we do not waive the entire </w:t>
      </w:r>
      <w:proofErr w:type="spellStart"/>
      <w:r>
        <w:rPr>
          <w:i/>
          <w:iCs/>
        </w:rPr>
        <w:t>Selichot</w:t>
      </w:r>
      <w:proofErr w:type="spellEnd"/>
      <w:r>
        <w:t xml:space="preserve"> due to a </w:t>
      </w:r>
      <w:proofErr w:type="spellStart"/>
      <w:r>
        <w:rPr>
          <w:i/>
          <w:iCs/>
        </w:rPr>
        <w:t>chatan</w:t>
      </w:r>
      <w:proofErr w:type="spellEnd"/>
      <w:r>
        <w:t xml:space="preserve"> or a </w:t>
      </w:r>
      <w:r>
        <w:rPr>
          <w:i/>
          <w:iCs/>
        </w:rPr>
        <w:t>brit</w:t>
      </w:r>
      <w:r>
        <w:t xml:space="preserve">. He argues, then, that the role of </w:t>
      </w:r>
      <w:r>
        <w:rPr>
          <w:i/>
          <w:iCs/>
        </w:rPr>
        <w:t>Tachanun</w:t>
      </w:r>
      <w:r>
        <w:t xml:space="preserve"> in </w:t>
      </w:r>
      <w:proofErr w:type="spellStart"/>
      <w:r>
        <w:rPr>
          <w:i/>
          <w:iCs/>
        </w:rPr>
        <w:t>Selichot</w:t>
      </w:r>
      <w:proofErr w:type="spellEnd"/>
      <w:r>
        <w:t xml:space="preserve"> is not as a relative “add-on,” like it is in during regular </w:t>
      </w:r>
      <w:r>
        <w:rPr>
          <w:i/>
          <w:iCs/>
        </w:rPr>
        <w:t>tefilla</w:t>
      </w:r>
      <w:r>
        <w:t xml:space="preserve">, which sometimes is said and sometimes not (e.g., Shabbat, major and minor </w:t>
      </w:r>
      <w:proofErr w:type="spellStart"/>
      <w:r>
        <w:rPr>
          <w:i/>
          <w:iCs/>
        </w:rPr>
        <w:t>chagim</w:t>
      </w:r>
      <w:proofErr w:type="spellEnd"/>
      <w:r>
        <w:t xml:space="preserve">, </w:t>
      </w:r>
      <w:proofErr w:type="spellStart"/>
      <w:r>
        <w:rPr>
          <w:i/>
          <w:iCs/>
        </w:rPr>
        <w:t>Ma’ariv</w:t>
      </w:r>
      <w:proofErr w:type="spellEnd"/>
      <w:r w:rsidRPr="008904B4">
        <w:t>)</w:t>
      </w:r>
      <w:r>
        <w:t xml:space="preserve">. Rather, </w:t>
      </w:r>
      <w:r>
        <w:rPr>
          <w:i/>
          <w:iCs/>
        </w:rPr>
        <w:t xml:space="preserve">Tachanun </w:t>
      </w:r>
      <w:r>
        <w:t>is part and parcel,</w:t>
      </w:r>
      <w:r w:rsidRPr="00582C55">
        <w:t xml:space="preserve"> </w:t>
      </w:r>
      <w:r>
        <w:t xml:space="preserve">in terms of structure and content, of the fabric of </w:t>
      </w:r>
      <w:proofErr w:type="spellStart"/>
      <w:r>
        <w:rPr>
          <w:i/>
          <w:iCs/>
        </w:rPr>
        <w:t>Selichot</w:t>
      </w:r>
      <w:proofErr w:type="spellEnd"/>
      <w:r>
        <w:t xml:space="preserve">. Therefore, given we are doing </w:t>
      </w:r>
      <w:proofErr w:type="spellStart"/>
      <w:r>
        <w:rPr>
          <w:i/>
          <w:iCs/>
        </w:rPr>
        <w:t>Selichot</w:t>
      </w:r>
      <w:proofErr w:type="spellEnd"/>
      <w:r>
        <w:t xml:space="preserve">, we cannot allow ourselves nor will we gain much by omitting </w:t>
      </w:r>
      <w:r>
        <w:rPr>
          <w:i/>
          <w:iCs/>
        </w:rPr>
        <w:t>Tachanun</w:t>
      </w:r>
      <w:r>
        <w:t xml:space="preserve">. Some point out that similarly while </w:t>
      </w:r>
      <w:r>
        <w:rPr>
          <w:i/>
          <w:iCs/>
        </w:rPr>
        <w:t>Erev Rosh Hashana</w:t>
      </w:r>
      <w:r>
        <w:t xml:space="preserve"> is too festive to recite </w:t>
      </w:r>
      <w:r>
        <w:rPr>
          <w:i/>
          <w:iCs/>
        </w:rPr>
        <w:t>Tachanun</w:t>
      </w:r>
      <w:r>
        <w:t xml:space="preserve"> in </w:t>
      </w:r>
      <w:r>
        <w:rPr>
          <w:i/>
          <w:iCs/>
        </w:rPr>
        <w:t>Shacharit</w:t>
      </w:r>
      <w:r>
        <w:t xml:space="preserve">, we recite it in </w:t>
      </w:r>
      <w:proofErr w:type="spellStart"/>
      <w:r>
        <w:rPr>
          <w:i/>
          <w:iCs/>
        </w:rPr>
        <w:t>Selichot</w:t>
      </w:r>
      <w:proofErr w:type="spellEnd"/>
      <w:r>
        <w:t>.</w:t>
      </w:r>
    </w:p>
    <w:p w14:paraId="5B90F891" w14:textId="77777777" w:rsidR="00BF05D1" w:rsidRDefault="00BF05D1" w:rsidP="00377FAE">
      <w:pPr>
        <w:bidi w:val="0"/>
        <w:ind w:right="26" w:firstLine="540"/>
      </w:pPr>
      <w:r>
        <w:t xml:space="preserve">One can argue whether this viewpoint fits well with the following general approach to </w:t>
      </w:r>
      <w:proofErr w:type="spellStart"/>
      <w:r>
        <w:rPr>
          <w:i/>
          <w:iCs/>
        </w:rPr>
        <w:t>Selichot</w:t>
      </w:r>
      <w:proofErr w:type="spellEnd"/>
      <w:r>
        <w:t xml:space="preserve">, championed by Rav Soloveitchik (see </w:t>
      </w:r>
      <w:proofErr w:type="spellStart"/>
      <w:r>
        <w:t>Batei</w:t>
      </w:r>
      <w:proofErr w:type="spellEnd"/>
      <w:r>
        <w:t xml:space="preserve"> Yosef 581:2-3). </w:t>
      </w:r>
      <w:proofErr w:type="spellStart"/>
      <w:r>
        <w:rPr>
          <w:i/>
          <w:iCs/>
        </w:rPr>
        <w:t>Selichot</w:t>
      </w:r>
      <w:proofErr w:type="spellEnd"/>
      <w:r>
        <w:rPr>
          <w:i/>
          <w:iCs/>
        </w:rPr>
        <w:t xml:space="preserve"> </w:t>
      </w:r>
      <w:r>
        <w:t xml:space="preserve">of Elul and </w:t>
      </w:r>
      <w:proofErr w:type="spellStart"/>
      <w:r>
        <w:t>Tishrei</w:t>
      </w:r>
      <w:proofErr w:type="spellEnd"/>
      <w:r>
        <w:t xml:space="preserve"> have a semi-status of an independent </w:t>
      </w:r>
      <w:r>
        <w:rPr>
          <w:i/>
          <w:iCs/>
        </w:rPr>
        <w:t>tefilla</w:t>
      </w:r>
      <w:r>
        <w:t xml:space="preserve">, introduced with </w:t>
      </w:r>
      <w:proofErr w:type="spellStart"/>
      <w:r w:rsidRPr="00EB00D5">
        <w:rPr>
          <w:i/>
          <w:iCs/>
        </w:rPr>
        <w:t>Ashrei</w:t>
      </w:r>
      <w:proofErr w:type="spellEnd"/>
      <w:r>
        <w:t xml:space="preserve">, ending with </w:t>
      </w:r>
      <w:r w:rsidRPr="00EB00D5">
        <w:rPr>
          <w:i/>
          <w:iCs/>
        </w:rPr>
        <w:t xml:space="preserve">Kaddish </w:t>
      </w:r>
      <w:proofErr w:type="spellStart"/>
      <w:r w:rsidRPr="00EB00D5">
        <w:rPr>
          <w:i/>
          <w:iCs/>
        </w:rPr>
        <w:t>Titkabel</w:t>
      </w:r>
      <w:proofErr w:type="spellEnd"/>
      <w:r>
        <w:t xml:space="preserve">, and including </w:t>
      </w:r>
      <w:r>
        <w:rPr>
          <w:i/>
          <w:iCs/>
        </w:rPr>
        <w:t>Tachanun</w:t>
      </w:r>
      <w:r>
        <w:t xml:space="preserve">. One can claim that </w:t>
      </w:r>
      <w:r>
        <w:rPr>
          <w:i/>
          <w:iCs/>
        </w:rPr>
        <w:t>Tachanun</w:t>
      </w:r>
      <w:r>
        <w:t xml:space="preserve"> has a similar role in </w:t>
      </w:r>
      <w:proofErr w:type="spellStart"/>
      <w:r>
        <w:rPr>
          <w:i/>
          <w:iCs/>
        </w:rPr>
        <w:t>Selichot</w:t>
      </w:r>
      <w:proofErr w:type="spellEnd"/>
      <w:r>
        <w:rPr>
          <w:i/>
          <w:iCs/>
        </w:rPr>
        <w:t xml:space="preserve"> </w:t>
      </w:r>
      <w:r>
        <w:t xml:space="preserve">as in standard </w:t>
      </w:r>
      <w:proofErr w:type="spellStart"/>
      <w:r>
        <w:rPr>
          <w:i/>
          <w:iCs/>
        </w:rPr>
        <w:t>tefillot</w:t>
      </w:r>
      <w:proofErr w:type="spellEnd"/>
      <w:r>
        <w:t xml:space="preserve">, so it can be omitted due to </w:t>
      </w:r>
      <w:r>
        <w:rPr>
          <w:i/>
          <w:iCs/>
        </w:rPr>
        <w:t>simcha</w:t>
      </w:r>
      <w:r>
        <w:t xml:space="preserve">. However, there is stronger logic to say that we lack precedent to amend the internal structure of </w:t>
      </w:r>
      <w:proofErr w:type="spellStart"/>
      <w:r>
        <w:rPr>
          <w:i/>
          <w:iCs/>
        </w:rPr>
        <w:t>Selichot</w:t>
      </w:r>
      <w:proofErr w:type="spellEnd"/>
      <w:r>
        <w:t xml:space="preserve">, and also that the moods of </w:t>
      </w:r>
      <w:proofErr w:type="spellStart"/>
      <w:r>
        <w:rPr>
          <w:i/>
          <w:iCs/>
        </w:rPr>
        <w:t>Selichot</w:t>
      </w:r>
      <w:proofErr w:type="spellEnd"/>
      <w:r>
        <w:rPr>
          <w:i/>
          <w:iCs/>
        </w:rPr>
        <w:t xml:space="preserve"> </w:t>
      </w:r>
      <w:r>
        <w:t xml:space="preserve">and </w:t>
      </w:r>
      <w:r>
        <w:rPr>
          <w:i/>
          <w:iCs/>
        </w:rPr>
        <w:t xml:space="preserve">Tachanun </w:t>
      </w:r>
      <w:r>
        <w:t xml:space="preserve">are too similar to do one and not the other. </w:t>
      </w:r>
    </w:p>
    <w:p w14:paraId="639CABB0" w14:textId="77777777" w:rsidR="00BF05D1" w:rsidRPr="0097729C" w:rsidRDefault="00BF05D1" w:rsidP="00377FAE">
      <w:pPr>
        <w:bidi w:val="0"/>
        <w:ind w:right="26" w:firstLine="540"/>
      </w:pPr>
      <w:r>
        <w:t xml:space="preserve">Both practical approaches have serious proponents (see opinions in </w:t>
      </w:r>
      <w:proofErr w:type="spellStart"/>
      <w:r>
        <w:t>B’tzel</w:t>
      </w:r>
      <w:proofErr w:type="spellEnd"/>
      <w:r>
        <w:t xml:space="preserve"> </w:t>
      </w:r>
      <w:proofErr w:type="spellStart"/>
      <w:r>
        <w:t>Hachochma</w:t>
      </w:r>
      <w:proofErr w:type="spellEnd"/>
      <w:r>
        <w:t xml:space="preserve"> ibid.), and each </w:t>
      </w:r>
      <w:r>
        <w:rPr>
          <w:i/>
          <w:iCs/>
        </w:rPr>
        <w:t>shul</w:t>
      </w:r>
      <w:r>
        <w:t xml:space="preserve">’s </w:t>
      </w:r>
      <w:r w:rsidRPr="0097729C">
        <w:rPr>
          <w:i/>
          <w:iCs/>
        </w:rPr>
        <w:t>minhag</w:t>
      </w:r>
      <w:r>
        <w:t xml:space="preserve"> is fully acceptable. Some communities have a preference to make </w:t>
      </w:r>
      <w:proofErr w:type="spellStart"/>
      <w:r>
        <w:rPr>
          <w:i/>
          <w:iCs/>
        </w:rPr>
        <w:t>Selichot</w:t>
      </w:r>
      <w:proofErr w:type="spellEnd"/>
      <w:r>
        <w:t xml:space="preserve"> short, while some communities prefer consistency; factoring in these preferences is also legitimate.</w:t>
      </w:r>
    </w:p>
    <w:p w14:paraId="70717832" w14:textId="73D35021" w:rsidR="00711BAF" w:rsidRPr="00F067B6" w:rsidRDefault="00711BAF" w:rsidP="00711BAF">
      <w:pPr>
        <w:bidi w:val="0"/>
        <w:ind w:firstLine="450"/>
      </w:pPr>
    </w:p>
    <w:p w14:paraId="1329FDB5" w14:textId="7D439BC7" w:rsidR="00EE21BF" w:rsidRPr="00C97E0B" w:rsidRDefault="00EE21BF" w:rsidP="00CF31A3">
      <w:pPr>
        <w:bidi w:val="0"/>
        <w:ind w:firstLine="450"/>
        <w:jc w:val="both"/>
        <w:rPr>
          <w:i/>
          <w:iCs/>
        </w:rPr>
      </w:pPr>
    </w:p>
    <w:p w14:paraId="2BA195E4" w14:textId="0B03EE34" w:rsidR="00B00E1C" w:rsidRDefault="00B00E1C" w:rsidP="00E434C3">
      <w:pPr>
        <w:bidi w:val="0"/>
        <w:jc w:val="center"/>
        <w:rPr>
          <w:rFonts w:ascii="Calibri" w:hAnsi="Calibri" w:cs="Calibri"/>
          <w:b/>
          <w:bCs/>
          <w:color w:val="0070C0"/>
          <w:sz w:val="24"/>
          <w:szCs w:val="24"/>
        </w:rPr>
      </w:pPr>
      <w:r>
        <w:rPr>
          <w:b/>
          <w:bCs/>
          <w:color w:val="0070C0"/>
          <w:sz w:val="24"/>
          <w:szCs w:val="24"/>
        </w:rPr>
        <w:t>“Behind the Scenes” Zoom shiur</w:t>
      </w:r>
    </w:p>
    <w:p w14:paraId="71001FAC" w14:textId="51BC77D1" w:rsidR="00B00E1C"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464D5F92" w14:textId="21584B4B" w:rsidR="00E434C3" w:rsidRDefault="00E434C3" w:rsidP="00E434C3">
      <w:pPr>
        <w:bidi w:val="0"/>
        <w:rPr>
          <w:rFonts w:ascii="Calibri" w:hAnsi="Calibri"/>
          <w:sz w:val="22"/>
          <w:szCs w:val="22"/>
        </w:rPr>
      </w:pPr>
    </w:p>
    <w:p w14:paraId="534D3B43" w14:textId="77777777" w:rsidR="00E434C3" w:rsidRPr="008E27B2" w:rsidRDefault="00E434C3" w:rsidP="00E434C3">
      <w:pPr>
        <w:bidi w:val="0"/>
        <w:rPr>
          <w:rFonts w:ascii="Calibri" w:hAnsi="Calibri"/>
          <w:sz w:val="22"/>
          <w:szCs w:val="22"/>
        </w:rPr>
      </w:pPr>
    </w:p>
    <w:p w14:paraId="26554809" w14:textId="4AB24597" w:rsidR="001D2511" w:rsidRDefault="001D2511" w:rsidP="00457415">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D4436F"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06E61342" w:rsidR="00717DE4" w:rsidRDefault="00D85E28" w:rsidP="00D85E28">
      <w:pPr>
        <w:bidi w:val="0"/>
        <w:contextualSpacing/>
      </w:pPr>
      <w:r>
        <w:rPr>
          <w:noProof/>
        </w:rPr>
        <w:lastRenderedPageBreak/>
        <w:drawing>
          <wp:inline distT="0" distB="0" distL="0" distR="0" wp14:anchorId="437D88B8" wp14:editId="41F2C818">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12720" cy="601980"/>
                    </a:xfrm>
                    <a:prstGeom prst="rect">
                      <a:avLst/>
                    </a:prstGeom>
                    <a:noFill/>
                    <a:ln>
                      <a:noFill/>
                    </a:ln>
                  </pic:spPr>
                </pic:pic>
              </a:graphicData>
            </a:graphic>
          </wp:inline>
        </w:drawing>
      </w:r>
    </w:p>
    <w:p w14:paraId="48092D48" w14:textId="3DFFC25A" w:rsidR="00717DE4" w:rsidRDefault="00717DE4" w:rsidP="003E32F5">
      <w:pPr>
        <w:bidi w:val="0"/>
        <w:contextualSpacing/>
      </w:pPr>
    </w:p>
    <w:p w14:paraId="44FCFC34" w14:textId="1664A33E" w:rsidR="00F559C4" w:rsidRDefault="00F559C4" w:rsidP="00F559C4">
      <w:pPr>
        <w:bidi w:val="0"/>
        <w:rPr>
          <w:b/>
          <w:bCs/>
          <w:color w:val="D85640"/>
          <w:sz w:val="24"/>
          <w:szCs w:val="24"/>
          <w:u w:val="single"/>
        </w:rPr>
      </w:pPr>
    </w:p>
    <w:p w14:paraId="74813FF9" w14:textId="38947327" w:rsidR="00A751FA" w:rsidRPr="00B711A4" w:rsidRDefault="00711BAF" w:rsidP="00A751FA">
      <w:pPr>
        <w:jc w:val="center"/>
        <w:rPr>
          <w:color w:val="002060"/>
          <w:sz w:val="28"/>
          <w:szCs w:val="28"/>
        </w:rPr>
      </w:pPr>
      <w:r>
        <w:rPr>
          <w:b/>
          <w:bCs/>
          <w:color w:val="002060"/>
          <w:sz w:val="28"/>
          <w:szCs w:val="28"/>
        </w:rPr>
        <w:t>Responsible Innovation in the Oral Law</w:t>
      </w:r>
      <w:r w:rsidR="00A751FA" w:rsidRPr="00A751FA">
        <w:rPr>
          <w:b/>
          <w:bCs/>
          <w:color w:val="002060"/>
          <w:sz w:val="28"/>
          <w:szCs w:val="28"/>
        </w:rPr>
        <w:t xml:space="preserve"> </w:t>
      </w:r>
      <w:proofErr w:type="gramStart"/>
      <w:r w:rsidR="00A751FA">
        <w:rPr>
          <w:b/>
          <w:bCs/>
          <w:color w:val="002060"/>
          <w:sz w:val="28"/>
          <w:szCs w:val="28"/>
        </w:rPr>
        <w:t>To</w:t>
      </w:r>
      <w:proofErr w:type="gramEnd"/>
      <w:r w:rsidR="00A751FA">
        <w:rPr>
          <w:b/>
          <w:bCs/>
          <w:color w:val="002060"/>
          <w:sz w:val="28"/>
          <w:szCs w:val="28"/>
        </w:rPr>
        <w:t xml:space="preserve"> Learn and to Be Happy </w:t>
      </w:r>
    </w:p>
    <w:p w14:paraId="1D802BB8" w14:textId="02F5B595" w:rsidR="00A751FA" w:rsidRPr="00B711A4" w:rsidRDefault="00A751FA" w:rsidP="00A751FA">
      <w:pPr>
        <w:bidi w:val="0"/>
        <w:jc w:val="center"/>
        <w:rPr>
          <w:color w:val="002060"/>
        </w:rPr>
      </w:pPr>
      <w:r>
        <w:rPr>
          <w:color w:val="002060"/>
        </w:rPr>
        <w:t xml:space="preserve">Based on </w:t>
      </w:r>
      <w:proofErr w:type="spellStart"/>
      <w:r>
        <w:rPr>
          <w:color w:val="002060"/>
        </w:rPr>
        <w:t>Siach</w:t>
      </w:r>
      <w:proofErr w:type="spellEnd"/>
      <w:r>
        <w:rPr>
          <w:color w:val="002060"/>
        </w:rPr>
        <w:t xml:space="preserve"> </w:t>
      </w:r>
      <w:proofErr w:type="spellStart"/>
      <w:r>
        <w:rPr>
          <w:color w:val="002060"/>
        </w:rPr>
        <w:t>Shaul</w:t>
      </w:r>
      <w:proofErr w:type="spellEnd"/>
      <w:r>
        <w:rPr>
          <w:color w:val="002060"/>
        </w:rPr>
        <w:t xml:space="preserve">, </w:t>
      </w:r>
      <w:proofErr w:type="spellStart"/>
      <w:r>
        <w:rPr>
          <w:color w:val="002060"/>
        </w:rPr>
        <w:t>Pirkei</w:t>
      </w:r>
      <w:proofErr w:type="spellEnd"/>
      <w:r>
        <w:rPr>
          <w:color w:val="002060"/>
        </w:rPr>
        <w:t xml:space="preserve"> </w:t>
      </w:r>
      <w:proofErr w:type="spellStart"/>
      <w:r>
        <w:rPr>
          <w:color w:val="002060"/>
        </w:rPr>
        <w:t>Machshava</w:t>
      </w:r>
      <w:proofErr w:type="spellEnd"/>
      <w:r>
        <w:rPr>
          <w:color w:val="002060"/>
        </w:rPr>
        <w:t xml:space="preserve"> </w:t>
      </w:r>
      <w:proofErr w:type="spellStart"/>
      <w:r>
        <w:rPr>
          <w:color w:val="002060"/>
        </w:rPr>
        <w:t>V’Hadracha</w:t>
      </w:r>
      <w:proofErr w:type="spellEnd"/>
      <w:r>
        <w:rPr>
          <w:color w:val="002060"/>
        </w:rPr>
        <w:t xml:space="preserve"> p. 27</w:t>
      </w:r>
    </w:p>
    <w:p w14:paraId="5919F9D9" w14:textId="77777777" w:rsidR="00A751FA" w:rsidRDefault="00A751FA" w:rsidP="00A751FA">
      <w:pPr>
        <w:bidi w:val="0"/>
        <w:ind w:firstLine="360"/>
      </w:pPr>
    </w:p>
    <w:p w14:paraId="5492E906" w14:textId="77777777" w:rsidR="00A751FA" w:rsidRPr="00ED33D9" w:rsidRDefault="00A751FA" w:rsidP="00663737">
      <w:pPr>
        <w:bidi w:val="0"/>
        <w:spacing w:line="276" w:lineRule="auto"/>
        <w:ind w:firstLine="360"/>
      </w:pPr>
      <w:r>
        <w:t>[</w:t>
      </w:r>
      <w:r w:rsidRPr="008B363C">
        <w:rPr>
          <w:i/>
          <w:iCs/>
        </w:rPr>
        <w:t>T</w:t>
      </w:r>
      <w:r>
        <w:rPr>
          <w:i/>
          <w:iCs/>
        </w:rPr>
        <w:t xml:space="preserve">his is from an address at a Torah symposium at </w:t>
      </w:r>
      <w:proofErr w:type="spellStart"/>
      <w:r>
        <w:rPr>
          <w:i/>
          <w:iCs/>
        </w:rPr>
        <w:t>Yeshivat</w:t>
      </w:r>
      <w:proofErr w:type="spellEnd"/>
      <w:r>
        <w:rPr>
          <w:i/>
          <w:iCs/>
        </w:rPr>
        <w:t xml:space="preserve"> </w:t>
      </w:r>
      <w:proofErr w:type="spellStart"/>
      <w:r>
        <w:rPr>
          <w:i/>
          <w:iCs/>
        </w:rPr>
        <w:t>Bnei</w:t>
      </w:r>
      <w:proofErr w:type="spellEnd"/>
      <w:r>
        <w:rPr>
          <w:i/>
          <w:iCs/>
        </w:rPr>
        <w:t xml:space="preserve"> </w:t>
      </w:r>
      <w:proofErr w:type="spellStart"/>
      <w:r>
        <w:rPr>
          <w:i/>
          <w:iCs/>
        </w:rPr>
        <w:t>Akiva</w:t>
      </w:r>
      <w:proofErr w:type="spellEnd"/>
      <w:r>
        <w:rPr>
          <w:i/>
          <w:iCs/>
        </w:rPr>
        <w:t xml:space="preserve">, </w:t>
      </w:r>
      <w:r>
        <w:t>5702 (1942)</w:t>
      </w:r>
      <w:r>
        <w:rPr>
          <w:i/>
          <w:iCs/>
        </w:rPr>
        <w:t>.</w:t>
      </w:r>
      <w:r>
        <w:t>]</w:t>
      </w:r>
    </w:p>
    <w:p w14:paraId="23027A4D" w14:textId="2743D57F" w:rsidR="00A751FA" w:rsidRDefault="00A751FA" w:rsidP="00663737">
      <w:pPr>
        <w:bidi w:val="0"/>
        <w:spacing w:line="276" w:lineRule="auto"/>
        <w:ind w:firstLine="360"/>
      </w:pPr>
      <w:r>
        <w:t>“You shall rise and go up to the place that Hashem shall choose for you” (</w:t>
      </w:r>
      <w:proofErr w:type="spellStart"/>
      <w:r>
        <w:t>Devarim</w:t>
      </w:r>
      <w:proofErr w:type="spellEnd"/>
      <w:r>
        <w:t xml:space="preserve"> 17:8). “Three times a year your males will be seen before the ‘face’ of Hashem, your Lord” (</w:t>
      </w:r>
      <w:proofErr w:type="spellStart"/>
      <w:r>
        <w:t>Shemot</w:t>
      </w:r>
      <w:proofErr w:type="spellEnd"/>
      <w:r>
        <w:t xml:space="preserve"> 23:17).</w:t>
      </w:r>
      <w:r>
        <w:rPr>
          <w:rFonts w:hint="cs"/>
          <w:rtl/>
        </w:rPr>
        <w:t xml:space="preserve"> </w:t>
      </w:r>
      <w:r>
        <w:t xml:space="preserve"> “You will be happy before Hashem” (</w:t>
      </w:r>
      <w:proofErr w:type="spellStart"/>
      <w:r>
        <w:t>Devarim</w:t>
      </w:r>
      <w:proofErr w:type="spellEnd"/>
      <w:r>
        <w:t xml:space="preserve"> 16:11). We need to learn how to learn, and we need to learn how to be happy. Not only are these two things that need to be learned, but also both have a place to do them – in the Holy Temple.</w:t>
      </w:r>
    </w:p>
    <w:p w14:paraId="311A9DC3" w14:textId="77777777" w:rsidR="00A751FA" w:rsidRDefault="00A751FA" w:rsidP="00663737">
      <w:pPr>
        <w:bidi w:val="0"/>
        <w:spacing w:line="276" w:lineRule="auto"/>
        <w:ind w:firstLine="360"/>
      </w:pPr>
      <w:r>
        <w:t>Torah is study, and study is a matter of intellect – what does intellect have to do with a specific place? A halachic decision is always made according to intellect, as we see from the following sources: “These are nothing but words of prophecy” (</w:t>
      </w:r>
      <w:proofErr w:type="spellStart"/>
      <w:r>
        <w:t>Eruvin</w:t>
      </w:r>
      <w:proofErr w:type="spellEnd"/>
      <w:r>
        <w:t xml:space="preserve"> 60b; this is a criticism); “[Torah</w:t>
      </w:r>
      <w:r>
        <w:rPr>
          <w:rFonts w:hint="cs"/>
          <w:rtl/>
        </w:rPr>
        <w:t xml:space="preserve"> </w:t>
      </w:r>
      <w:r>
        <w:t>decisions] are not in the heavens” (</w:t>
      </w:r>
      <w:proofErr w:type="spellStart"/>
      <w:r>
        <w:t>Bava</w:t>
      </w:r>
      <w:proofErr w:type="spellEnd"/>
      <w:r>
        <w:t xml:space="preserve"> </w:t>
      </w:r>
      <w:proofErr w:type="spellStart"/>
      <w:r>
        <w:t>Metzia</w:t>
      </w:r>
      <w:proofErr w:type="spellEnd"/>
      <w:r>
        <w:t xml:space="preserve"> 59b); “From this point a prophet is unable to bring us any new ideas” (</w:t>
      </w:r>
      <w:proofErr w:type="spellStart"/>
      <w:r>
        <w:t>Yoma</w:t>
      </w:r>
      <w:proofErr w:type="spellEnd"/>
      <w:r>
        <w:t xml:space="preserve"> 80a); “We do not pay attention to that which is heard from a heavenly voice” (</w:t>
      </w:r>
      <w:proofErr w:type="spellStart"/>
      <w:r>
        <w:t>Berachot</w:t>
      </w:r>
      <w:proofErr w:type="spellEnd"/>
      <w:r>
        <w:t xml:space="preserve"> 52a), etc. If so, why should an intellectual decision be connected to a specific place? Yet, it is!</w:t>
      </w:r>
    </w:p>
    <w:p w14:paraId="652307BF" w14:textId="70621DBC" w:rsidR="00A751FA" w:rsidRDefault="00A751FA" w:rsidP="00663737">
      <w:pPr>
        <w:bidi w:val="0"/>
        <w:spacing w:line="276" w:lineRule="auto"/>
        <w:ind w:firstLine="360"/>
      </w:pPr>
      <w:r>
        <w:rPr>
          <w:rFonts w:hint="cs"/>
        </w:rPr>
        <w:t>I</w:t>
      </w:r>
      <w:r>
        <w:t xml:space="preserve">f someone tells you there is wisdom in Edom, believe him, but if he tells you there is Torah in Edom, do not believe him (based on </w:t>
      </w:r>
      <w:proofErr w:type="spellStart"/>
      <w:r>
        <w:t>Eicha</w:t>
      </w:r>
      <w:proofErr w:type="spellEnd"/>
      <w:r>
        <w:t xml:space="preserve"> </w:t>
      </w:r>
      <w:proofErr w:type="spellStart"/>
      <w:r>
        <w:t>Rabba</w:t>
      </w:r>
      <w:proofErr w:type="spellEnd"/>
      <w:r>
        <w:t xml:space="preserve"> 2:13). Wisdom teaches how to do things, but Torah teaches what to do. Wisdom does not tell one what to want, but its job is to show how to bring the desired matter to fruition. Thousands of years of scientific development changed how war is waged, but it has not changed the purpose of waging it.</w:t>
      </w:r>
    </w:p>
    <w:p w14:paraId="0BED1649" w14:textId="7F1BB9C4" w:rsidR="00A751FA" w:rsidRDefault="00A751FA" w:rsidP="00663737">
      <w:pPr>
        <w:bidi w:val="0"/>
        <w:spacing w:line="276" w:lineRule="auto"/>
        <w:ind w:firstLine="360"/>
      </w:pPr>
      <w:r>
        <w:t xml:space="preserve">Who is a </w:t>
      </w:r>
      <w:proofErr w:type="spellStart"/>
      <w:r>
        <w:rPr>
          <w:i/>
          <w:iCs/>
        </w:rPr>
        <w:t>gibbor</w:t>
      </w:r>
      <w:proofErr w:type="spellEnd"/>
      <w:r>
        <w:rPr>
          <w:i/>
          <w:iCs/>
        </w:rPr>
        <w:t xml:space="preserve"> </w:t>
      </w:r>
      <w:r>
        <w:t>(brave and/or strong person)? Wisdom does not have the answer to this question. Therefore, the answer that existed thousands of years ago, “one who captures a city”</w:t>
      </w:r>
      <w:r>
        <w:rPr>
          <w:rFonts w:hint="cs"/>
          <w:rtl/>
        </w:rPr>
        <w:t xml:space="preserve"> </w:t>
      </w:r>
      <w:r>
        <w:t xml:space="preserve">(see juxtaposition in </w:t>
      </w:r>
      <w:proofErr w:type="spellStart"/>
      <w:r>
        <w:t>Mishlei</w:t>
      </w:r>
      <w:proofErr w:type="spellEnd"/>
      <w:r>
        <w:t xml:space="preserve"> 16:32) still exists. It is just that once, they used primitive actions, and now they have become more sophisticated. The purpose has not changed, as the point of departure is still to seek personal pleasure. Moral development has not fully kept up with the development of wisdom, and therefore, not only has wisdom not improved matters but it has, to the contrary, improved the means of causing destruction compared to that which primitive man used, and turned it into something that can destroy the world.</w:t>
      </w:r>
    </w:p>
    <w:p w14:paraId="217CB794" w14:textId="77777777" w:rsidR="00A751FA" w:rsidRDefault="00A751FA" w:rsidP="00663737">
      <w:pPr>
        <w:bidi w:val="0"/>
        <w:spacing w:line="276" w:lineRule="auto"/>
        <w:ind w:firstLine="360"/>
      </w:pPr>
      <w:r>
        <w:t xml:space="preserve">The Torah came to change the point of departure – “Who is a </w:t>
      </w:r>
      <w:proofErr w:type="spellStart"/>
      <w:r>
        <w:rPr>
          <w:i/>
          <w:iCs/>
        </w:rPr>
        <w:t>gibbor</w:t>
      </w:r>
      <w:proofErr w:type="spellEnd"/>
      <w:r>
        <w:t>? One who subdues his inclinations” (Avot 4:1), and, actually, himself. This is a “Copernican revolution,” which the Torah invented.</w:t>
      </w:r>
    </w:p>
    <w:p w14:paraId="489B6010" w14:textId="65B299CC" w:rsidR="00A751FA" w:rsidRDefault="00A751FA" w:rsidP="00663737">
      <w:pPr>
        <w:bidi w:val="0"/>
        <w:spacing w:line="276" w:lineRule="auto"/>
        <w:ind w:firstLine="360"/>
      </w:pPr>
      <w:r>
        <w:t>The nations of the world claimed: “What is written [in the Torah, that we may decide to accept or reject it]?” (</w:t>
      </w:r>
      <w:proofErr w:type="spellStart"/>
      <w:r>
        <w:t>Mechilta</w:t>
      </w:r>
      <w:proofErr w:type="spellEnd"/>
      <w:r>
        <w:t xml:space="preserve">, Yitro 5). Interestingly, those things that prevented them from accepting the Torah (the prohibitions of stealing, adultery, and murder, respectively) are laws based on logic. The nations of the world, especially pagans, have “ritual laws,” and our commentaries connect some of our </w:t>
      </w:r>
      <w:r>
        <w:rPr>
          <w:i/>
          <w:iCs/>
        </w:rPr>
        <w:t xml:space="preserve">mitzvot </w:t>
      </w:r>
      <w:r>
        <w:t xml:space="preserve">to an attempt to distance us from their “religious practices.” Thus, even some of our </w:t>
      </w:r>
      <w:proofErr w:type="spellStart"/>
      <w:r w:rsidRPr="00B63603">
        <w:rPr>
          <w:i/>
          <w:iCs/>
        </w:rPr>
        <w:t>chukim</w:t>
      </w:r>
      <w:proofErr w:type="spellEnd"/>
      <w:r>
        <w:t xml:space="preserve"> (</w:t>
      </w:r>
      <w:r>
        <w:rPr>
          <w:i/>
          <w:iCs/>
        </w:rPr>
        <w:t>mitzvot</w:t>
      </w:r>
      <w:r>
        <w:t xml:space="preserve"> that defy logic) actually have reasons, but the </w:t>
      </w:r>
      <w:proofErr w:type="spellStart"/>
      <w:r>
        <w:rPr>
          <w:i/>
          <w:iCs/>
        </w:rPr>
        <w:t>chukim</w:t>
      </w:r>
      <w:proofErr w:type="spellEnd"/>
      <w:r>
        <w:t xml:space="preserve"> of the pagans, who started the practices we need to counter, have no reasons. People are happy to accept </w:t>
      </w:r>
      <w:proofErr w:type="spellStart"/>
      <w:r>
        <w:rPr>
          <w:i/>
          <w:iCs/>
        </w:rPr>
        <w:t>chukim</w:t>
      </w:r>
      <w:proofErr w:type="spellEnd"/>
      <w:r>
        <w:t xml:space="preserve"> providing that it does not force them to change their plans. A murderer is willing to accept anything, even to be killed himself, as long as he is not prevented from murdering others. Everything else is fine for him.</w:t>
      </w:r>
    </w:p>
    <w:p w14:paraId="0BC1219A" w14:textId="0FC32238" w:rsidR="00A751FA" w:rsidRDefault="00A751FA" w:rsidP="00663737">
      <w:pPr>
        <w:bidi w:val="0"/>
        <w:spacing w:line="276" w:lineRule="auto"/>
        <w:ind w:firstLine="360"/>
      </w:pPr>
      <w:r>
        <w:t xml:space="preserve">His mistake is that Torah is truly Torah only when it leads him in a way that includes changing his essence. Only Israel understood the value of the Torah and accepted it, which is why we have Torah and Edom does not. </w:t>
      </w:r>
      <w:r>
        <w:rPr>
          <w:rFonts w:hint="cs"/>
        </w:rPr>
        <w:t>T</w:t>
      </w:r>
      <w:r>
        <w:t>he more we see the results of wisdom (ed. note- the address was in the midst of WW II), the better we will understand the value of the Torah and the more we will thank the Master of the Universe for his good present and the eternal life He has planted in our midst.</w:t>
      </w:r>
    </w:p>
    <w:p w14:paraId="5B367030" w14:textId="0B32D7FB" w:rsidR="00FD369C" w:rsidRPr="001964D4" w:rsidRDefault="00FD369C" w:rsidP="00A751FA">
      <w:pPr>
        <w:jc w:val="center"/>
      </w:pPr>
      <w:r>
        <w:t xml:space="preserve">   </w:t>
      </w:r>
    </w:p>
    <w:p w14:paraId="66B60BB1" w14:textId="4E04226A" w:rsidR="00B92BEA" w:rsidRDefault="00B92BEA" w:rsidP="00B92BEA">
      <w:pPr>
        <w:bidi w:val="0"/>
        <w:spacing w:line="276" w:lineRule="auto"/>
        <w:ind w:firstLine="360"/>
      </w:pPr>
    </w:p>
    <w:p w14:paraId="7994B9E7" w14:textId="59ACBAB1" w:rsidR="00A751FA" w:rsidRDefault="00A751FA" w:rsidP="00A751FA">
      <w:pPr>
        <w:bidi w:val="0"/>
        <w:spacing w:line="276" w:lineRule="auto"/>
        <w:ind w:firstLine="360"/>
      </w:pPr>
    </w:p>
    <w:p w14:paraId="5283082B" w14:textId="77777777" w:rsidR="00A751FA" w:rsidRDefault="00A751FA" w:rsidP="00A751FA">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64BA4ABB" w14:textId="19997E7F" w:rsidR="003E32F5" w:rsidRDefault="003E32F5" w:rsidP="003E32F5">
      <w:pPr>
        <w:bidi w:val="0"/>
        <w:ind w:firstLine="360"/>
      </w:pPr>
    </w:p>
    <w:p w14:paraId="30968E80" w14:textId="1AE59F77" w:rsidR="00663737" w:rsidRDefault="00663737" w:rsidP="00663737">
      <w:pPr>
        <w:bidi w:val="0"/>
        <w:ind w:firstLine="360"/>
      </w:pPr>
    </w:p>
    <w:p w14:paraId="76235F56" w14:textId="460D4E8B" w:rsidR="00663737" w:rsidRDefault="00663737" w:rsidP="00663737">
      <w:pPr>
        <w:bidi w:val="0"/>
        <w:ind w:firstLine="360"/>
      </w:pPr>
    </w:p>
    <w:p w14:paraId="078AFE58" w14:textId="77777777" w:rsidR="00663737" w:rsidRDefault="00663737" w:rsidP="00663737">
      <w:pPr>
        <w:bidi w:val="0"/>
        <w:ind w:firstLine="360"/>
        <w:rPr>
          <w:noProof/>
        </w:rPr>
      </w:pPr>
    </w:p>
    <w:p w14:paraId="264C75F2" w14:textId="5E559C47" w:rsidR="00B90D5B" w:rsidRDefault="00B90D5B" w:rsidP="00B90D5B">
      <w:pPr>
        <w:bidi w:val="0"/>
        <w:ind w:firstLine="360"/>
        <w:rPr>
          <w:noProof/>
        </w:rPr>
      </w:pPr>
    </w:p>
    <w:p w14:paraId="1559480E" w14:textId="77777777" w:rsidR="00B90D5B" w:rsidRDefault="00B90D5B" w:rsidP="00B90D5B">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AFA5B4" w14:textId="5F92C6B9" w:rsidR="00711BAF" w:rsidRPr="00711BAF" w:rsidRDefault="00711BAF" w:rsidP="00711BAF">
      <w:pPr>
        <w:pStyle w:val="Heading2"/>
        <w:bidi w:val="0"/>
        <w:spacing w:before="0" w:after="0"/>
        <w:rPr>
          <w:i w:val="0"/>
          <w:iCs w:val="0"/>
          <w:sz w:val="20"/>
        </w:rPr>
      </w:pPr>
      <w:r w:rsidRPr="00711BAF">
        <w:rPr>
          <w:i w:val="0"/>
          <w:iCs w:val="0"/>
          <w:color w:val="D85640"/>
        </w:rPr>
        <w:t xml:space="preserve">Return of Down Payment Due to War – part </w:t>
      </w:r>
      <w:r w:rsidR="00663737">
        <w:rPr>
          <w:i w:val="0"/>
          <w:iCs w:val="0"/>
          <w:color w:val="D85640"/>
        </w:rPr>
        <w:t>I</w:t>
      </w:r>
      <w:r w:rsidRPr="00711BAF">
        <w:rPr>
          <w:i w:val="0"/>
          <w:iCs w:val="0"/>
          <w:color w:val="D85640"/>
        </w:rPr>
        <w:t>I</w:t>
      </w:r>
      <w:r w:rsidRPr="00711BAF">
        <w:rPr>
          <w:i w:val="0"/>
          <w:iCs w:val="0"/>
          <w:sz w:val="20"/>
        </w:rPr>
        <w:t xml:space="preserve"> </w:t>
      </w:r>
    </w:p>
    <w:p w14:paraId="1774BB51" w14:textId="77777777" w:rsidR="00711BAF" w:rsidRPr="00711BAF" w:rsidRDefault="00711BAF" w:rsidP="00711BAF">
      <w:pPr>
        <w:pStyle w:val="Heading2"/>
        <w:bidi w:val="0"/>
        <w:spacing w:before="0" w:after="0"/>
        <w:rPr>
          <w:b w:val="0"/>
          <w:bCs w:val="0"/>
          <w:i w:val="0"/>
          <w:iCs w:val="0"/>
          <w:sz w:val="22"/>
          <w:szCs w:val="18"/>
        </w:rPr>
      </w:pPr>
      <w:r w:rsidRPr="00711BAF">
        <w:rPr>
          <w:b w:val="0"/>
          <w:bCs w:val="0"/>
          <w:i w:val="0"/>
          <w:iCs w:val="0"/>
          <w:sz w:val="20"/>
        </w:rPr>
        <w:t>(</w:t>
      </w:r>
      <w:proofErr w:type="gramStart"/>
      <w:r w:rsidRPr="00711BAF">
        <w:rPr>
          <w:b w:val="0"/>
          <w:bCs w:val="0"/>
          <w:i w:val="0"/>
          <w:iCs w:val="0"/>
          <w:sz w:val="20"/>
        </w:rPr>
        <w:t>based</w:t>
      </w:r>
      <w:proofErr w:type="gramEnd"/>
      <w:r w:rsidRPr="00711BAF">
        <w:rPr>
          <w:b w:val="0"/>
          <w:bCs w:val="0"/>
          <w:i w:val="0"/>
          <w:iCs w:val="0"/>
          <w:sz w:val="20"/>
        </w:rPr>
        <w:t xml:space="preserve"> on ruling 84044 of the Eretz Hemdah-</w:t>
      </w:r>
      <w:proofErr w:type="spellStart"/>
      <w:r w:rsidRPr="00711BAF">
        <w:rPr>
          <w:b w:val="0"/>
          <w:bCs w:val="0"/>
          <w:i w:val="0"/>
          <w:iCs w:val="0"/>
          <w:sz w:val="20"/>
        </w:rPr>
        <w:t>Gazit</w:t>
      </w:r>
      <w:proofErr w:type="spellEnd"/>
      <w:r w:rsidRPr="00711BAF">
        <w:rPr>
          <w:b w:val="0"/>
          <w:bCs w:val="0"/>
          <w:i w:val="0"/>
          <w:iCs w:val="0"/>
          <w:sz w:val="20"/>
        </w:rPr>
        <w:t xml:space="preserve"> Rabbinical Courts)</w:t>
      </w:r>
    </w:p>
    <w:p w14:paraId="7442CC7E" w14:textId="77777777" w:rsidR="00711BAF" w:rsidRPr="006C633B" w:rsidRDefault="00711BAF" w:rsidP="00711BAF">
      <w:pPr>
        <w:bidi w:val="0"/>
        <w:rPr>
          <w:sz w:val="24"/>
        </w:rPr>
      </w:pPr>
    </w:p>
    <w:p w14:paraId="5BBCDC05" w14:textId="77777777" w:rsidR="00663737" w:rsidRPr="004520B5" w:rsidRDefault="00663737" w:rsidP="00663737">
      <w:pPr>
        <w:bidi w:val="0"/>
        <w:spacing w:line="276" w:lineRule="auto"/>
      </w:pPr>
      <w:r w:rsidRPr="0024039C">
        <w:rPr>
          <w:b/>
          <w:bCs/>
          <w:color w:val="D85640"/>
          <w:sz w:val="24"/>
          <w:u w:val="single"/>
        </w:rPr>
        <w:t>Case</w:t>
      </w:r>
      <w:r w:rsidRPr="0024039C">
        <w:rPr>
          <w:b/>
          <w:bCs/>
          <w:color w:val="D85640"/>
          <w:sz w:val="24"/>
        </w:rPr>
        <w:t>:</w:t>
      </w:r>
      <w:r>
        <w:t xml:space="preserve"> The plaintiffs (=</w:t>
      </w:r>
      <w:r>
        <w:rPr>
          <w:i/>
          <w:iCs/>
        </w:rPr>
        <w:t>pl</w:t>
      </w:r>
      <w:r>
        <w:t>) ordered catering services by the defendant (=</w:t>
      </w:r>
      <w:r>
        <w:rPr>
          <w:i/>
          <w:iCs/>
        </w:rPr>
        <w:t>def</w:t>
      </w:r>
      <w:r>
        <w:t xml:space="preserve">) for their son’s </w:t>
      </w:r>
      <w:r w:rsidRPr="007428FC">
        <w:rPr>
          <w:i/>
          <w:iCs/>
        </w:rPr>
        <w:t xml:space="preserve">Shabbat Sheva </w:t>
      </w:r>
      <w:proofErr w:type="spellStart"/>
      <w:r w:rsidRPr="007428FC">
        <w:rPr>
          <w:i/>
          <w:iCs/>
        </w:rPr>
        <w:t>Berachot</w:t>
      </w:r>
      <w:proofErr w:type="spellEnd"/>
      <w:r>
        <w:t xml:space="preserve"> (=</w:t>
      </w:r>
      <w:r w:rsidRPr="00DD5585">
        <w:rPr>
          <w:i/>
          <w:iCs/>
        </w:rPr>
        <w:t>SSB</w:t>
      </w:r>
      <w:r>
        <w:t>). The wedding was to take place on Oct. 9, 2023. A party planner (=</w:t>
      </w:r>
      <w:r>
        <w:rPr>
          <w:i/>
          <w:iCs/>
        </w:rPr>
        <w:t>pp</w:t>
      </w:r>
      <w:r>
        <w:t xml:space="preserve">) found and interacted between </w:t>
      </w:r>
      <w:r>
        <w:rPr>
          <w:i/>
          <w:iCs/>
        </w:rPr>
        <w:t>def</w:t>
      </w:r>
      <w:r>
        <w:t xml:space="preserve"> and </w:t>
      </w:r>
      <w:r>
        <w:rPr>
          <w:i/>
          <w:iCs/>
        </w:rPr>
        <w:t>pl</w:t>
      </w:r>
      <w:r>
        <w:t xml:space="preserve">, but </w:t>
      </w:r>
      <w:r>
        <w:rPr>
          <w:i/>
          <w:iCs/>
        </w:rPr>
        <w:t xml:space="preserve">pl </w:t>
      </w:r>
      <w:r>
        <w:t xml:space="preserve">paid </w:t>
      </w:r>
      <w:r>
        <w:rPr>
          <w:i/>
          <w:iCs/>
        </w:rPr>
        <w:t xml:space="preserve">def </w:t>
      </w:r>
      <w:r>
        <w:t xml:space="preserve">directly a down payment of 7,537 NIS. Due to the war, the wedding was delayed. </w:t>
      </w:r>
      <w:r>
        <w:rPr>
          <w:i/>
          <w:iCs/>
        </w:rPr>
        <w:t xml:space="preserve">Pl </w:t>
      </w:r>
      <w:r>
        <w:t xml:space="preserve">cancelled </w:t>
      </w:r>
      <w:r w:rsidRPr="00CE6852">
        <w:t>the</w:t>
      </w:r>
      <w:r>
        <w:rPr>
          <w:i/>
          <w:iCs/>
        </w:rPr>
        <w:t xml:space="preserve"> </w:t>
      </w:r>
      <w:r>
        <w:t>order and demanded that the down payment be returned.</w:t>
      </w:r>
      <w:r>
        <w:rPr>
          <w:i/>
          <w:iCs/>
        </w:rPr>
        <w:t xml:space="preserve"> Def </w:t>
      </w:r>
      <w:r>
        <w:t xml:space="preserve">agreed to give a credit of 7,500 NIS, but only if </w:t>
      </w:r>
      <w:r>
        <w:rPr>
          <w:i/>
          <w:iCs/>
        </w:rPr>
        <w:t xml:space="preserve">pl </w:t>
      </w:r>
      <w:r>
        <w:t xml:space="preserve">would hire </w:t>
      </w:r>
      <w:r w:rsidRPr="002B21A0">
        <w:t>him</w:t>
      </w:r>
      <w:r>
        <w:t xml:space="preserve"> </w:t>
      </w:r>
      <w:r w:rsidRPr="002B21A0">
        <w:t>for</w:t>
      </w:r>
      <w:r>
        <w:t xml:space="preserve"> an event of at least 23,000 NIS. Due to safety considerations, </w:t>
      </w:r>
      <w:r>
        <w:rPr>
          <w:i/>
          <w:iCs/>
        </w:rPr>
        <w:t>SSB</w:t>
      </w:r>
      <w:r>
        <w:t xml:space="preserve"> was moved to Jerusalem, where the hotel did not allow outside catering. </w:t>
      </w:r>
      <w:r>
        <w:rPr>
          <w:i/>
          <w:iCs/>
        </w:rPr>
        <w:t xml:space="preserve">Pl </w:t>
      </w:r>
      <w:r>
        <w:t xml:space="preserve">tried to get a smaller credit for a smaller event, but </w:t>
      </w:r>
      <w:r>
        <w:rPr>
          <w:i/>
          <w:iCs/>
        </w:rPr>
        <w:t>def</w:t>
      </w:r>
      <w:r>
        <w:t xml:space="preserve"> refused. </w:t>
      </w:r>
      <w:r>
        <w:rPr>
          <w:i/>
          <w:iCs/>
        </w:rPr>
        <w:t xml:space="preserve">Pl </w:t>
      </w:r>
      <w:r>
        <w:t xml:space="preserve">points out that all the other service providers gave a full refund, but </w:t>
      </w:r>
      <w:r>
        <w:rPr>
          <w:i/>
          <w:iCs/>
        </w:rPr>
        <w:t>def</w:t>
      </w:r>
      <w:r>
        <w:t xml:space="preserve"> responded that the down payment covers supplies that he already bought and prepared and that </w:t>
      </w:r>
      <w:r>
        <w:rPr>
          <w:i/>
          <w:iCs/>
        </w:rPr>
        <w:t>pl</w:t>
      </w:r>
      <w:r>
        <w:t xml:space="preserve"> had him give the food to soldiers.</w:t>
      </w:r>
    </w:p>
    <w:p w14:paraId="775187D3" w14:textId="77777777" w:rsidR="00663737" w:rsidRPr="00561B28" w:rsidRDefault="00663737" w:rsidP="00663737">
      <w:pPr>
        <w:bidi w:val="0"/>
        <w:spacing w:line="276" w:lineRule="auto"/>
        <w:rPr>
          <w:sz w:val="22"/>
          <w:szCs w:val="22"/>
        </w:rPr>
      </w:pPr>
      <w:r>
        <w:t xml:space="preserve">  </w:t>
      </w:r>
    </w:p>
    <w:p w14:paraId="0DD4ABF5" w14:textId="77777777" w:rsidR="00663737" w:rsidRDefault="00663737" w:rsidP="00663737">
      <w:pPr>
        <w:bidi w:val="0"/>
        <w:spacing w:line="276" w:lineRule="auto"/>
      </w:pPr>
      <w:r w:rsidRPr="0024039C">
        <w:rPr>
          <w:b/>
          <w:bCs/>
          <w:color w:val="D85640"/>
          <w:sz w:val="24"/>
          <w:szCs w:val="24"/>
          <w:u w:val="single"/>
        </w:rPr>
        <w:t>Ruling</w:t>
      </w:r>
      <w:r w:rsidRPr="0024039C">
        <w:rPr>
          <w:b/>
          <w:bCs/>
          <w:color w:val="D85640"/>
          <w:sz w:val="24"/>
          <w:szCs w:val="24"/>
        </w:rPr>
        <w:t>:</w:t>
      </w:r>
      <w:r w:rsidRPr="00942E24">
        <w:t xml:space="preserve"> </w:t>
      </w:r>
      <w:r>
        <w:t xml:space="preserve">Should </w:t>
      </w:r>
      <w:r>
        <w:rPr>
          <w:i/>
          <w:iCs/>
        </w:rPr>
        <w:t>pl</w:t>
      </w:r>
      <w:r>
        <w:t xml:space="preserve">’s partial payment for the food he did not receive, without the wrongdoing of either side, stand? The type of </w:t>
      </w:r>
      <w:proofErr w:type="spellStart"/>
      <w:r>
        <w:rPr>
          <w:i/>
          <w:iCs/>
        </w:rPr>
        <w:t>oness</w:t>
      </w:r>
      <w:proofErr w:type="spellEnd"/>
      <w:r>
        <w:rPr>
          <w:i/>
          <w:iCs/>
        </w:rPr>
        <w:t xml:space="preserve"> </w:t>
      </w:r>
      <w:r>
        <w:t xml:space="preserve">(extenuating circumstance) here (a war) is a </w:t>
      </w:r>
      <w:proofErr w:type="spellStart"/>
      <w:r>
        <w:rPr>
          <w:i/>
          <w:iCs/>
        </w:rPr>
        <w:t>makat</w:t>
      </w:r>
      <w:proofErr w:type="spellEnd"/>
      <w:r>
        <w:rPr>
          <w:i/>
          <w:iCs/>
        </w:rPr>
        <w:t xml:space="preserve"> medina</w:t>
      </w:r>
      <w:r>
        <w:t>, a problem that affects a broad spectrum of people</w:t>
      </w:r>
      <w:r w:rsidRPr="003A5403">
        <w:t>.</w:t>
      </w:r>
      <w:r>
        <w:t xml:space="preserve"> The difference between a </w:t>
      </w:r>
      <w:proofErr w:type="spellStart"/>
      <w:r w:rsidRPr="00460BA6">
        <w:rPr>
          <w:i/>
          <w:iCs/>
        </w:rPr>
        <w:t>makat</w:t>
      </w:r>
      <w:proofErr w:type="spellEnd"/>
      <w:r>
        <w:t xml:space="preserve"> </w:t>
      </w:r>
      <w:r>
        <w:rPr>
          <w:i/>
          <w:iCs/>
        </w:rPr>
        <w:t xml:space="preserve">medina </w:t>
      </w:r>
      <w:r>
        <w:t xml:space="preserve">and standard </w:t>
      </w:r>
      <w:proofErr w:type="spellStart"/>
      <w:r>
        <w:rPr>
          <w:i/>
          <w:iCs/>
        </w:rPr>
        <w:t>oness</w:t>
      </w:r>
      <w:proofErr w:type="spellEnd"/>
      <w:r>
        <w:t xml:space="preserve"> is that generally we can attribute the </w:t>
      </w:r>
      <w:proofErr w:type="spellStart"/>
      <w:r>
        <w:rPr>
          <w:i/>
          <w:iCs/>
        </w:rPr>
        <w:t>oness</w:t>
      </w:r>
      <w:proofErr w:type="spellEnd"/>
      <w:r>
        <w:rPr>
          <w:i/>
          <w:iCs/>
        </w:rPr>
        <w:t xml:space="preserve"> </w:t>
      </w:r>
      <w:r>
        <w:t xml:space="preserve">to the affected individual’s </w:t>
      </w:r>
      <w:r>
        <w:rPr>
          <w:i/>
          <w:iCs/>
        </w:rPr>
        <w:t>mazal</w:t>
      </w:r>
      <w:r>
        <w:t xml:space="preserve">, whereas here the war affected a whole community in the same way. </w:t>
      </w:r>
    </w:p>
    <w:p w14:paraId="32D584AF" w14:textId="77777777" w:rsidR="00663737" w:rsidRPr="00304B47" w:rsidRDefault="00663737" w:rsidP="00663737">
      <w:pPr>
        <w:bidi w:val="0"/>
        <w:spacing w:line="276" w:lineRule="auto"/>
        <w:ind w:firstLine="450"/>
      </w:pPr>
      <w:r>
        <w:t>The Rama (</w:t>
      </w:r>
      <w:proofErr w:type="spellStart"/>
      <w:r>
        <w:t>Choshen</w:t>
      </w:r>
      <w:proofErr w:type="spellEnd"/>
      <w:r>
        <w:t xml:space="preserve"> </w:t>
      </w:r>
      <w:proofErr w:type="spellStart"/>
      <w:r>
        <w:t>Mishpat</w:t>
      </w:r>
      <w:proofErr w:type="spellEnd"/>
      <w:r>
        <w:t xml:space="preserve"> 312:17) rules: “If the whole city burned down, it is a </w:t>
      </w:r>
      <w:proofErr w:type="spellStart"/>
      <w:r>
        <w:rPr>
          <w:i/>
          <w:iCs/>
        </w:rPr>
        <w:t>makat</w:t>
      </w:r>
      <w:proofErr w:type="spellEnd"/>
      <w:r>
        <w:rPr>
          <w:i/>
          <w:iCs/>
        </w:rPr>
        <w:t xml:space="preserve"> medina</w:t>
      </w:r>
      <w:r>
        <w:t xml:space="preserve"> and [the renter] reduces the rent corresponding to the time he did not live in it, whether he prepaid or not.” The Taz and </w:t>
      </w:r>
      <w:proofErr w:type="spellStart"/>
      <w:r>
        <w:t>Shach</w:t>
      </w:r>
      <w:proofErr w:type="spellEnd"/>
      <w:r>
        <w:t xml:space="preserve"> (to CM 334:1) say that the exemption of the renter due to </w:t>
      </w:r>
      <w:proofErr w:type="spellStart"/>
      <w:r>
        <w:rPr>
          <w:i/>
          <w:iCs/>
        </w:rPr>
        <w:t>makat</w:t>
      </w:r>
      <w:proofErr w:type="spellEnd"/>
      <w:r>
        <w:rPr>
          <w:i/>
          <w:iCs/>
        </w:rPr>
        <w:t xml:space="preserve"> medina</w:t>
      </w:r>
      <w:r>
        <w:t xml:space="preserve"> applies even when use of the home was interrupted by the need to flee from the city due to a plague (not just when the problem was with the house), and the same applies to wartime restrictions. One explanation is that there is an implied condition that the agreement applies only if it is possible to carry it out. The </w:t>
      </w:r>
      <w:proofErr w:type="spellStart"/>
      <w:r>
        <w:t>Machaneh</w:t>
      </w:r>
      <w:proofErr w:type="spellEnd"/>
      <w:r>
        <w:t xml:space="preserve"> </w:t>
      </w:r>
      <w:proofErr w:type="spellStart"/>
      <w:r>
        <w:t>Ephrayim</w:t>
      </w:r>
      <w:proofErr w:type="spellEnd"/>
      <w:r>
        <w:t xml:space="preserve"> (</w:t>
      </w:r>
      <w:proofErr w:type="spellStart"/>
      <w:r>
        <w:t>Sechirut</w:t>
      </w:r>
      <w:proofErr w:type="spellEnd"/>
      <w:r>
        <w:t xml:space="preserve"> 7) argues that if a renter gave a down payment before the continuation of the rental became impossible, the renter is unable to get the payment back. Other </w:t>
      </w:r>
      <w:proofErr w:type="spellStart"/>
      <w:r>
        <w:rPr>
          <w:i/>
          <w:iCs/>
        </w:rPr>
        <w:t>poskim</w:t>
      </w:r>
      <w:proofErr w:type="spellEnd"/>
      <w:r>
        <w:rPr>
          <w:i/>
          <w:iCs/>
        </w:rPr>
        <w:t xml:space="preserve"> </w:t>
      </w:r>
      <w:r w:rsidRPr="00815F25">
        <w:t>ag</w:t>
      </w:r>
      <w:r>
        <w:t xml:space="preserve">ree with him, and it is unclear if there is a consensus on the matter (see Shut </w:t>
      </w:r>
      <w:proofErr w:type="spellStart"/>
      <w:r>
        <w:t>Minchat</w:t>
      </w:r>
      <w:proofErr w:type="spellEnd"/>
      <w:r>
        <w:t xml:space="preserve"> Asher II, p. 408; </w:t>
      </w:r>
      <w:proofErr w:type="spellStart"/>
      <w:r>
        <w:t>Mishpat</w:t>
      </w:r>
      <w:proofErr w:type="spellEnd"/>
      <w:r>
        <w:t xml:space="preserve"> </w:t>
      </w:r>
      <w:proofErr w:type="spellStart"/>
      <w:r>
        <w:t>Hasechirut</w:t>
      </w:r>
      <w:proofErr w:type="spellEnd"/>
      <w:r>
        <w:t xml:space="preserve"> II, p. 1022). However, in our case the </w:t>
      </w:r>
      <w:proofErr w:type="spellStart"/>
      <w:r>
        <w:t>Machaneh</w:t>
      </w:r>
      <w:proofErr w:type="spellEnd"/>
      <w:r>
        <w:t xml:space="preserve"> </w:t>
      </w:r>
      <w:proofErr w:type="spellStart"/>
      <w:r>
        <w:t>Ephrayim</w:t>
      </w:r>
      <w:proofErr w:type="spellEnd"/>
      <w:r>
        <w:t xml:space="preserve"> probably would award </w:t>
      </w:r>
      <w:r>
        <w:rPr>
          <w:i/>
          <w:iCs/>
        </w:rPr>
        <w:t xml:space="preserve">pl </w:t>
      </w:r>
      <w:r>
        <w:t xml:space="preserve">a refund because </w:t>
      </w:r>
      <w:r>
        <w:rPr>
          <w:i/>
          <w:iCs/>
        </w:rPr>
        <w:t>def</w:t>
      </w:r>
      <w:r>
        <w:t xml:space="preserve"> did not give </w:t>
      </w:r>
      <w:r>
        <w:rPr>
          <w:i/>
          <w:iCs/>
        </w:rPr>
        <w:t xml:space="preserve">pl </w:t>
      </w:r>
      <w:r>
        <w:t xml:space="preserve">the option of receiving the food. The </w:t>
      </w:r>
      <w:proofErr w:type="spellStart"/>
      <w:r>
        <w:t>Aruch</w:t>
      </w:r>
      <w:proofErr w:type="spellEnd"/>
      <w:r>
        <w:t xml:space="preserve"> </w:t>
      </w:r>
      <w:proofErr w:type="spellStart"/>
      <w:r>
        <w:t>Hashulchan</w:t>
      </w:r>
      <w:proofErr w:type="spellEnd"/>
      <w:r>
        <w:t xml:space="preserve"> (CM 334:2) rules that as long as the one who paid is not at fault, if the worker is a </w:t>
      </w:r>
      <w:proofErr w:type="spellStart"/>
      <w:r>
        <w:rPr>
          <w:i/>
          <w:iCs/>
        </w:rPr>
        <w:t>kablan</w:t>
      </w:r>
      <w:proofErr w:type="spellEnd"/>
      <w:r>
        <w:rPr>
          <w:i/>
          <w:iCs/>
        </w:rPr>
        <w:t xml:space="preserve"> </w:t>
      </w:r>
      <w:r>
        <w:t xml:space="preserve">(paid by the job, as </w:t>
      </w:r>
      <w:r>
        <w:rPr>
          <w:i/>
          <w:iCs/>
        </w:rPr>
        <w:t>def</w:t>
      </w:r>
      <w:r>
        <w:t xml:space="preserve"> is), he gets the money back. The Netivot </w:t>
      </w:r>
      <w:proofErr w:type="spellStart"/>
      <w:r>
        <w:t>Hamishpat</w:t>
      </w:r>
      <w:proofErr w:type="spellEnd"/>
      <w:r>
        <w:t xml:space="preserve"> (230:1) adds another reason to refund that applies here – when the </w:t>
      </w:r>
      <w:proofErr w:type="spellStart"/>
      <w:r>
        <w:rPr>
          <w:i/>
          <w:iCs/>
        </w:rPr>
        <w:t>makat</w:t>
      </w:r>
      <w:proofErr w:type="spellEnd"/>
      <w:r>
        <w:rPr>
          <w:i/>
          <w:iCs/>
        </w:rPr>
        <w:t xml:space="preserve"> medina </w:t>
      </w:r>
      <w:r>
        <w:t xml:space="preserve">prevented any benefit at all, there should not be payment. </w:t>
      </w:r>
    </w:p>
    <w:p w14:paraId="44500DA2" w14:textId="77777777" w:rsidR="00663737" w:rsidRDefault="00663737" w:rsidP="00663737">
      <w:pPr>
        <w:bidi w:val="0"/>
        <w:spacing w:line="276" w:lineRule="auto"/>
        <w:ind w:firstLine="450"/>
      </w:pPr>
      <w:r>
        <w:t xml:space="preserve">In cases of </w:t>
      </w:r>
      <w:proofErr w:type="spellStart"/>
      <w:r>
        <w:rPr>
          <w:i/>
          <w:iCs/>
        </w:rPr>
        <w:t>makat</w:t>
      </w:r>
      <w:proofErr w:type="spellEnd"/>
      <w:r>
        <w:rPr>
          <w:i/>
          <w:iCs/>
        </w:rPr>
        <w:t xml:space="preserve"> medina</w:t>
      </w:r>
      <w:r>
        <w:t xml:space="preserve">, our </w:t>
      </w:r>
      <w:proofErr w:type="spellStart"/>
      <w:r>
        <w:rPr>
          <w:i/>
          <w:iCs/>
        </w:rPr>
        <w:t>beit</w:t>
      </w:r>
      <w:proofErr w:type="spellEnd"/>
      <w:r>
        <w:rPr>
          <w:i/>
          <w:iCs/>
        </w:rPr>
        <w:t xml:space="preserve"> din</w:t>
      </w:r>
      <w:r>
        <w:t xml:space="preserve"> likes to make compromises, because of the existence of different opinions and distinctions. One of the factors that plays a role is whether the government compensates the proprietor on the loss of business, and </w:t>
      </w:r>
      <w:r>
        <w:rPr>
          <w:i/>
          <w:iCs/>
        </w:rPr>
        <w:t>def</w:t>
      </w:r>
      <w:r>
        <w:t xml:space="preserve"> confirmed that he received help. </w:t>
      </w:r>
    </w:p>
    <w:p w14:paraId="622B8FCE" w14:textId="4E27D472" w:rsidR="002B099F" w:rsidRDefault="00663737" w:rsidP="00663737">
      <w:pPr>
        <w:pStyle w:val="PlainText"/>
        <w:spacing w:line="276" w:lineRule="auto"/>
        <w:rPr>
          <w:color w:val="365F91"/>
        </w:rPr>
      </w:pPr>
      <w:r>
        <w:rPr>
          <w:rFonts w:cs="Arial"/>
          <w:i/>
          <w:iCs/>
        </w:rPr>
        <w:t>These factors will affect the final ruling, which will be shared in the next installment.</w:t>
      </w:r>
    </w:p>
    <w:p w14:paraId="5E535F9E" w14:textId="77777777" w:rsidR="002B099F" w:rsidRDefault="002B099F"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D4436F"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EE491E2" w14:textId="01BD798D" w:rsidR="00A9710F" w:rsidRDefault="00A9710F" w:rsidP="00316F85">
      <w:pPr>
        <w:pStyle w:val="PlainText"/>
        <w:jc w:val="center"/>
      </w:pPr>
    </w:p>
    <w:p w14:paraId="5CECBFA8" w14:textId="77777777" w:rsidR="00A9710F" w:rsidRDefault="00A9710F" w:rsidP="00316F85">
      <w:pPr>
        <w:pStyle w:val="PlainText"/>
        <w:jc w:val="center"/>
      </w:pPr>
    </w:p>
    <w:p w14:paraId="54E9C13E" w14:textId="508C7164" w:rsidR="00920ABD" w:rsidRDefault="00920ABD" w:rsidP="00316F85">
      <w:pPr>
        <w:pStyle w:val="PlainText"/>
        <w:jc w:val="center"/>
      </w:pPr>
    </w:p>
    <w:p w14:paraId="36E6E292" w14:textId="77777777" w:rsidR="006879CF" w:rsidRDefault="006879CF"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6F7A6568" w:rsidR="00973C63"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711BAF">
      <w:rPr>
        <w:b/>
        <w:bCs/>
        <w:color w:val="D85640"/>
        <w:sz w:val="26"/>
        <w:szCs w:val="26"/>
      </w:rPr>
      <w:t xml:space="preserve">Ki </w:t>
    </w:r>
    <w:proofErr w:type="spellStart"/>
    <w:r w:rsidR="00711BAF">
      <w:rPr>
        <w:b/>
        <w:bCs/>
        <w:color w:val="D85640"/>
        <w:sz w:val="26"/>
        <w:szCs w:val="26"/>
      </w:rPr>
      <w:t>T</w:t>
    </w:r>
    <w:r w:rsidR="00BF05D1">
      <w:rPr>
        <w:b/>
        <w:bCs/>
        <w:color w:val="D85640"/>
        <w:sz w:val="26"/>
        <w:szCs w:val="26"/>
      </w:rPr>
      <w:t>avo</w:t>
    </w:r>
    <w:proofErr w:type="spellEnd"/>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4449"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2E6"/>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77FAE"/>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6C53"/>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2D9"/>
    <w:rsid w:val="00BC25BB"/>
    <w:rsid w:val="00BC282E"/>
    <w:rsid w:val="00BC38E9"/>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4449"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3050</Words>
  <Characters>14676</Characters>
  <Application>Microsoft Office Word</Application>
  <DocSecurity>0</DocSecurity>
  <Lines>122</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17691</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8</cp:revision>
  <cp:lastPrinted>2025-07-30T09:01:00Z</cp:lastPrinted>
  <dcterms:created xsi:type="dcterms:W3CDTF">2025-08-19T12:47:00Z</dcterms:created>
  <dcterms:modified xsi:type="dcterms:W3CDTF">2025-09-07T12:38:00Z</dcterms:modified>
</cp:coreProperties>
</file>