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1"/>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1"/>
              <w:bidi w:val="0"/>
              <w:spacing w:after="0" w:line="240" w:lineRule="auto"/>
              <w:ind w:left="33"/>
              <w:rPr>
                <w:szCs w:val="20"/>
                <w:highlight w:val="yellow"/>
              </w:rPr>
            </w:pPr>
          </w:p>
          <w:p w14:paraId="053B3C78" w14:textId="77777777" w:rsidR="00AC60DB" w:rsidRDefault="00AC60DB" w:rsidP="002B4B02">
            <w:pPr>
              <w:pStyle w:val="1f1"/>
              <w:bidi w:val="0"/>
              <w:spacing w:after="0" w:line="240" w:lineRule="auto"/>
              <w:ind w:left="33"/>
              <w:rPr>
                <w:szCs w:val="20"/>
                <w:highlight w:val="yellow"/>
              </w:rPr>
            </w:pPr>
          </w:p>
          <w:p w14:paraId="4C8B6F61" w14:textId="77777777" w:rsidR="00AC60DB" w:rsidRDefault="00AC60DB" w:rsidP="002B4B02">
            <w:pPr>
              <w:pStyle w:val="1f1"/>
              <w:bidi w:val="0"/>
              <w:spacing w:after="0" w:line="240" w:lineRule="auto"/>
              <w:ind w:left="33"/>
              <w:rPr>
                <w:szCs w:val="20"/>
                <w:highlight w:val="yellow"/>
              </w:rPr>
            </w:pPr>
          </w:p>
          <w:p w14:paraId="1C3CC763" w14:textId="77777777" w:rsidR="00AC60DB" w:rsidRDefault="00AC60DB" w:rsidP="002B4B02">
            <w:pPr>
              <w:pStyle w:val="1f1"/>
              <w:bidi w:val="0"/>
              <w:spacing w:after="0" w:line="240" w:lineRule="auto"/>
              <w:ind w:left="33"/>
              <w:rPr>
                <w:szCs w:val="20"/>
                <w:highlight w:val="yellow"/>
              </w:rPr>
            </w:pPr>
          </w:p>
          <w:p w14:paraId="62B9F110" w14:textId="77777777" w:rsidR="00731DDC" w:rsidRPr="001443B6" w:rsidRDefault="00731DDC" w:rsidP="002B4B02">
            <w:pPr>
              <w:pStyle w:val="1f1"/>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0E892B3B"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827FEA" w:rsidRPr="00827FEA">
              <w:rPr>
                <w:b/>
                <w:bCs/>
                <w:color w:val="D85640"/>
                <w:sz w:val="24"/>
                <w:szCs w:val="24"/>
              </w:rPr>
              <w:t>Chayei Sarah</w:t>
            </w:r>
            <w:r w:rsidR="00563D69" w:rsidRPr="00827FEA">
              <w:rPr>
                <w:b/>
                <w:bCs/>
                <w:color w:val="D85640"/>
                <w:sz w:val="24"/>
                <w:szCs w:val="24"/>
              </w:rPr>
              <w:t>,</w:t>
            </w:r>
            <w:r w:rsidR="00DB429E" w:rsidRPr="00827FEA">
              <w:rPr>
                <w:b/>
                <w:bCs/>
                <w:color w:val="D85640"/>
                <w:sz w:val="24"/>
                <w:szCs w:val="24"/>
              </w:rPr>
              <w:t xml:space="preserve"> </w:t>
            </w:r>
            <w:r w:rsidR="007539B1" w:rsidRPr="00827FEA">
              <w:rPr>
                <w:b/>
                <w:bCs/>
                <w:color w:val="D85640"/>
                <w:sz w:val="24"/>
                <w:szCs w:val="24"/>
              </w:rPr>
              <w:t>Cheshvan</w:t>
            </w:r>
            <w:r w:rsidR="00953D26" w:rsidRPr="00827FEA">
              <w:rPr>
                <w:b/>
                <w:bCs/>
                <w:color w:val="D85640"/>
                <w:sz w:val="24"/>
                <w:szCs w:val="24"/>
              </w:rPr>
              <w:t xml:space="preserve"> </w:t>
            </w:r>
            <w:r w:rsidR="00827FEA" w:rsidRPr="00827FEA">
              <w:rPr>
                <w:b/>
                <w:bCs/>
                <w:color w:val="D85640"/>
                <w:sz w:val="24"/>
                <w:szCs w:val="24"/>
              </w:rPr>
              <w:t>24</w:t>
            </w:r>
            <w:r w:rsidR="00433BBA" w:rsidRPr="00827FEA">
              <w:rPr>
                <w:b/>
                <w:bCs/>
                <w:color w:val="D85640"/>
                <w:sz w:val="24"/>
                <w:szCs w:val="24"/>
              </w:rPr>
              <w:t xml:space="preserve"> </w:t>
            </w:r>
            <w:r w:rsidR="00563D69" w:rsidRPr="00827FEA">
              <w:rPr>
                <w:b/>
                <w:bCs/>
                <w:color w:val="D85640"/>
                <w:sz w:val="24"/>
                <w:szCs w:val="24"/>
              </w:rPr>
              <w:t>5</w:t>
            </w:r>
            <w:r w:rsidR="003B66DD" w:rsidRPr="00827FEA">
              <w:rPr>
                <w:b/>
                <w:bCs/>
                <w:color w:val="D85640"/>
                <w:sz w:val="24"/>
                <w:szCs w:val="24"/>
              </w:rPr>
              <w:t>78</w:t>
            </w:r>
            <w:r w:rsidR="001C540B" w:rsidRPr="00827FEA">
              <w:rPr>
                <w:b/>
                <w:bCs/>
                <w:color w:val="D85640"/>
                <w:sz w:val="24"/>
                <w:szCs w:val="24"/>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48C65AEC" w14:textId="77777777" w:rsidR="00562B84" w:rsidRDefault="00562B84" w:rsidP="00562B84">
            <w:pPr>
              <w:bidi w:val="0"/>
              <w:jc w:val="center"/>
              <w:rPr>
                <w:color w:val="002060"/>
              </w:rPr>
            </w:pPr>
            <w:r>
              <w:rPr>
                <w:b/>
                <w:bCs/>
                <w:color w:val="002060"/>
                <w:sz w:val="28"/>
                <w:szCs w:val="28"/>
              </w:rPr>
              <w:t>137 and the Power of Uncertainty</w:t>
            </w:r>
            <w:r>
              <w:rPr>
                <w:color w:val="002060"/>
              </w:rPr>
              <w:t xml:space="preserve"> </w:t>
            </w:r>
          </w:p>
          <w:p w14:paraId="3ECCAF10" w14:textId="77777777" w:rsidR="00F304BA" w:rsidRPr="001834E1" w:rsidRDefault="00F304BA" w:rsidP="00F304BA">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114F09BF" w14:textId="77777777" w:rsidR="00562B84" w:rsidRDefault="00562B84" w:rsidP="00562B84">
      <w:pPr>
        <w:bidi w:val="0"/>
        <w:ind w:firstLine="426"/>
      </w:pPr>
      <w:bookmarkStart w:id="1" w:name="_Hlk193982934"/>
      <w:r>
        <w:t xml:space="preserve">The </w:t>
      </w:r>
      <w:proofErr w:type="spellStart"/>
      <w:r>
        <w:rPr>
          <w:i/>
          <w:iCs/>
        </w:rPr>
        <w:t>parasha</w:t>
      </w:r>
      <w:proofErr w:type="spellEnd"/>
      <w:r>
        <w:rPr>
          <w:i/>
          <w:iCs/>
        </w:rPr>
        <w:t xml:space="preserve"> </w:t>
      </w:r>
      <w:r>
        <w:t xml:space="preserve">opens with “the life of Sarah,” mentioned twice along with her 127 years. Since it tells of her death, it might have been more appropriate to say that she died at the age of 127. Much has been written about the stress on her life. The Midrash Hagadol (ad loc.) connects this to the </w:t>
      </w:r>
      <w:proofErr w:type="spellStart"/>
      <w:r>
        <w:rPr>
          <w:i/>
          <w:iCs/>
        </w:rPr>
        <w:t>pasuk</w:t>
      </w:r>
      <w:proofErr w:type="spellEnd"/>
      <w:r>
        <w:t xml:space="preserve">, “He asked for life, </w:t>
      </w:r>
      <w:proofErr w:type="gramStart"/>
      <w:r>
        <w:t>You</w:t>
      </w:r>
      <w:proofErr w:type="gramEnd"/>
      <w:r>
        <w:t xml:space="preserve"> gave it to him – long life forever” (</w:t>
      </w:r>
      <w:proofErr w:type="spellStart"/>
      <w:r>
        <w:t>Tehillim</w:t>
      </w:r>
      <w:proofErr w:type="spellEnd"/>
      <w:r>
        <w:t xml:space="preserve"> 21:5). The </w:t>
      </w:r>
      <w:r>
        <w:rPr>
          <w:i/>
          <w:iCs/>
        </w:rPr>
        <w:t>midrash</w:t>
      </w:r>
      <w:r>
        <w:t xml:space="preserve"> says that the life forever refers to the life of the World to Come. This is the real life, and thus Sarah’s life did not end. What looks like life from the viewpoint of the material world is not really life. We will investigate a similar approach with very different parameters. </w:t>
      </w:r>
    </w:p>
    <w:p w14:paraId="20359A0A" w14:textId="77777777" w:rsidR="00562B84" w:rsidRDefault="00562B84" w:rsidP="00562B84">
      <w:pPr>
        <w:bidi w:val="0"/>
        <w:ind w:firstLine="426"/>
      </w:pPr>
      <w:r>
        <w:t xml:space="preserve">The number that opens our </w:t>
      </w:r>
      <w:proofErr w:type="spellStart"/>
      <w:r>
        <w:rPr>
          <w:i/>
          <w:iCs/>
        </w:rPr>
        <w:t>parasha</w:t>
      </w:r>
      <w:proofErr w:type="spellEnd"/>
      <w:r>
        <w:t xml:space="preserve"> is, again, 127. A similarly phrased </w:t>
      </w:r>
      <w:proofErr w:type="spellStart"/>
      <w:r>
        <w:rPr>
          <w:i/>
          <w:iCs/>
        </w:rPr>
        <w:t>pasuk</w:t>
      </w:r>
      <w:proofErr w:type="spellEnd"/>
      <w:r>
        <w:t xml:space="preserve"> at the end of the </w:t>
      </w:r>
      <w:proofErr w:type="spellStart"/>
      <w:r>
        <w:rPr>
          <w:i/>
          <w:iCs/>
        </w:rPr>
        <w:t>parasha</w:t>
      </w:r>
      <w:proofErr w:type="spellEnd"/>
      <w:r>
        <w:t xml:space="preserve"> gives the years of </w:t>
      </w:r>
      <w:proofErr w:type="spellStart"/>
      <w:r>
        <w:t>Yishmael’s</w:t>
      </w:r>
      <w:proofErr w:type="spellEnd"/>
      <w:r>
        <w:t xml:space="preserve"> life as 1</w:t>
      </w:r>
      <w:r>
        <w:rPr>
          <w:b/>
          <w:bCs/>
        </w:rPr>
        <w:t>3</w:t>
      </w:r>
      <w:r>
        <w:t xml:space="preserve">7. This number appears twice in </w:t>
      </w:r>
      <w:r>
        <w:rPr>
          <w:i/>
          <w:iCs/>
        </w:rPr>
        <w:t xml:space="preserve">Parashat </w:t>
      </w:r>
      <w:proofErr w:type="spellStart"/>
      <w:r>
        <w:rPr>
          <w:i/>
          <w:iCs/>
        </w:rPr>
        <w:t>Vaeira</w:t>
      </w:r>
      <w:proofErr w:type="spellEnd"/>
      <w:r>
        <w:t xml:space="preserve"> as the years of the lives of Moshe’s forebears, Levi and Amram, which is a strong indication that the number is significant. Explaining the connection will help us answer our question. </w:t>
      </w:r>
    </w:p>
    <w:p w14:paraId="43632735" w14:textId="77777777" w:rsidR="00562B84" w:rsidRDefault="00562B84" w:rsidP="00562B84">
      <w:pPr>
        <w:bidi w:val="0"/>
        <w:ind w:firstLine="426"/>
      </w:pPr>
      <w:r>
        <w:t xml:space="preserve">The Jewish doctor, poet, and philosopher, R. </w:t>
      </w:r>
      <w:proofErr w:type="spellStart"/>
      <w:r>
        <w:t>Yedaya</w:t>
      </w:r>
      <w:proofErr w:type="spellEnd"/>
      <w:r>
        <w:t xml:space="preserve"> </w:t>
      </w:r>
      <w:proofErr w:type="spellStart"/>
      <w:r>
        <w:t>Hapenini</w:t>
      </w:r>
      <w:proofErr w:type="spellEnd"/>
      <w:r>
        <w:t xml:space="preserve"> </w:t>
      </w:r>
      <w:proofErr w:type="spellStart"/>
      <w:r>
        <w:t>Habadrashi</w:t>
      </w:r>
      <w:proofErr w:type="spellEnd"/>
      <w:r>
        <w:t xml:space="preserve"> made an enigmatic statement: “The point of knowledge is that we should not know.” While many quoted and agreed with him, we must ask how </w:t>
      </w:r>
      <w:r>
        <w:rPr>
          <w:b/>
          <w:bCs/>
        </w:rPr>
        <w:t>lack of knowledge</w:t>
      </w:r>
      <w:r>
        <w:t xml:space="preserve"> can be the point of </w:t>
      </w:r>
      <w:r>
        <w:rPr>
          <w:b/>
          <w:bCs/>
        </w:rPr>
        <w:t>knowledge</w:t>
      </w:r>
      <w:r>
        <w:t>?</w:t>
      </w:r>
    </w:p>
    <w:p w14:paraId="4DE3F139" w14:textId="77777777" w:rsidR="00562B84" w:rsidRDefault="00562B84" w:rsidP="00562B84">
      <w:pPr>
        <w:bidi w:val="0"/>
        <w:ind w:firstLine="426"/>
      </w:pPr>
      <w:r>
        <w:t>Let us compare the goals of Torah study and of study of science. A scientist wants to understand as much as possible, especially the principles, and come up with a formula that gives the correct answer for each test case. If the results of the test cases do not work out with the principles, he knows that some knowledge is missing, and he must continue his work. It would seem there is no way to bridge the gap between these fields – Torah values lack of knowledge, whereas science values only knowledge.</w:t>
      </w:r>
    </w:p>
    <w:p w14:paraId="3CA9F0CC" w14:textId="77777777" w:rsidR="00562B84" w:rsidRDefault="00562B84" w:rsidP="00562B84">
      <w:pPr>
        <w:bidi w:val="0"/>
        <w:ind w:firstLine="426"/>
      </w:pPr>
      <w:r>
        <w:t>Around 100 years ago, science began identifying areas in which it is impossible to apply standard physical equations. For one, it is now accepted that we can never know an electron’s location or momentum. Second, we will probably not succeed in incorporating into one system of formulas the four forces that operate in nature: gravitational force, electrical-electromagnetic force, weak atomic force, and strong atomic force. A third example: apparently, we will not succeed in knowing and defining the universe in all its parts and their locations, in relation to a specific point.</w:t>
      </w:r>
    </w:p>
    <w:p w14:paraId="5E879AD3" w14:textId="77777777" w:rsidR="00562B84" w:rsidRDefault="00562B84" w:rsidP="00562B84">
      <w:pPr>
        <w:bidi w:val="0"/>
        <w:ind w:firstLine="426"/>
      </w:pPr>
      <w:r>
        <w:t xml:space="preserve">There is also a group of scientists who have accepted R. </w:t>
      </w:r>
      <w:proofErr w:type="spellStart"/>
      <w:r>
        <w:t>Yedaya’s</w:t>
      </w:r>
      <w:proofErr w:type="spellEnd"/>
      <w:r>
        <w:t xml:space="preserve"> thesis that a transcendental being exists outside the physical world, which controls the happenings in the world. While they do not believe in Hashem, it is a historical step forward. One cause is the realization that human conception is limited. Another is the discovery of constants without which the world could not exist as it does. </w:t>
      </w:r>
    </w:p>
    <w:p w14:paraId="134B6CE4" w14:textId="77777777" w:rsidR="00562B84" w:rsidRDefault="00562B84" w:rsidP="00562B84">
      <w:pPr>
        <w:bidi w:val="0"/>
        <w:ind w:firstLine="426"/>
        <w:rPr>
          <w:rFonts w:cs="Miriam"/>
        </w:rPr>
      </w:pPr>
      <w:r>
        <w:t xml:space="preserve">One important constant is the number 1/137 (called, the fine structure constant), which relates to the strength of the electromagnetic interaction between elementary charged particles. The importance of this constant was studied by two Jews, Arnold Sommerfeld and Wolfgang Pauli, the latter of which started learning Kabbala when he learned that its </w:t>
      </w:r>
      <w:r>
        <w:rPr>
          <w:i/>
          <w:iCs/>
        </w:rPr>
        <w:t xml:space="preserve">gematria </w:t>
      </w:r>
      <w:r>
        <w:t>is 137.</w:t>
      </w:r>
    </w:p>
    <w:p w14:paraId="0C9A2CC7" w14:textId="4F9D314E" w:rsidR="007539B1" w:rsidRPr="00F57527" w:rsidRDefault="00562B84" w:rsidP="00562B84">
      <w:pPr>
        <w:bidi w:val="0"/>
        <w:ind w:firstLine="426"/>
      </w:pPr>
      <w:r>
        <w:t>I would suggest that these developments are part of the beginning of the fulfillment of the prophecies that the whole world will eventually accept Hashem’s dominion.</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77777777" w:rsidR="00F17B4E" w:rsidRDefault="00F17B4E" w:rsidP="00133962">
            <w:pPr>
              <w:bidi w:val="0"/>
              <w:spacing w:line="360" w:lineRule="auto"/>
              <w:jc w:val="center"/>
              <w:rPr>
                <w:b/>
                <w:bCs/>
                <w:sz w:val="18"/>
                <w:szCs w:val="18"/>
                <w:u w:val="single"/>
              </w:rPr>
            </w:pPr>
            <w:bookmarkStart w:id="2" w:name="_Hlk173845240"/>
            <w:bookmarkEnd w:id="1"/>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Hemdah's beloved friends and Members of Eretz Hemdah's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8899B41" w:rsidR="00133962" w:rsidRPr="00133962" w:rsidRDefault="00133962" w:rsidP="009F2867">
            <w:pPr>
              <w:bidi w:val="0"/>
              <w:jc w:val="center"/>
              <w:rPr>
                <w:sz w:val="16"/>
                <w:szCs w:val="16"/>
                <w:rtl/>
              </w:rPr>
            </w:pPr>
            <w:r w:rsidRPr="00133962">
              <w:rPr>
                <w:sz w:val="16"/>
                <w:szCs w:val="16"/>
              </w:rPr>
              <w:t xml:space="preserve">Prof. </w:t>
            </w:r>
            <w:r w:rsidRPr="00133962">
              <w:rPr>
                <w:b/>
                <w:bCs/>
                <w:sz w:val="16"/>
                <w:szCs w:val="16"/>
              </w:rPr>
              <w:t xml:space="preserve">Yisrael </w:t>
            </w:r>
            <w:r w:rsidR="009F2867">
              <w:rPr>
                <w:b/>
                <w:bCs/>
                <w:sz w:val="16"/>
                <w:szCs w:val="16"/>
              </w:rPr>
              <w:t xml:space="preserve">&amp; </w:t>
            </w:r>
            <w:proofErr w:type="spellStart"/>
            <w:r w:rsidR="009F2867">
              <w:rPr>
                <w:b/>
                <w:bCs/>
                <w:sz w:val="16"/>
                <w:szCs w:val="16"/>
              </w:rPr>
              <w:t>Shlomit</w:t>
            </w:r>
            <w:proofErr w:type="spellEnd"/>
            <w:r w:rsidR="009F2867">
              <w:rPr>
                <w:b/>
                <w:bCs/>
                <w:sz w:val="16"/>
                <w:szCs w:val="16"/>
              </w:rPr>
              <w:t xml:space="preserve"> </w:t>
            </w:r>
            <w:proofErr w:type="spellStart"/>
            <w:r w:rsidR="009F2867">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51B3D79B" w14:textId="4E930491" w:rsidR="00133962" w:rsidRPr="00133962" w:rsidRDefault="00133962" w:rsidP="00133962">
            <w:pPr>
              <w:bidi w:val="0"/>
              <w:jc w:val="center"/>
              <w:rPr>
                <w:rtl/>
              </w:rPr>
            </w:pPr>
            <w:r w:rsidRPr="00133962">
              <w:rPr>
                <w:sz w:val="16"/>
                <w:szCs w:val="16"/>
              </w:rPr>
              <w:t>Kislev 14, 5773</w:t>
            </w:r>
            <w:r w:rsidR="009F2867">
              <w:rPr>
                <w:sz w:val="16"/>
                <w:szCs w:val="16"/>
              </w:rPr>
              <w:t xml:space="preserve"> / Cheshvan 9, 5786</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Shlomo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Nechama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r w:rsidRPr="002969AE">
              <w:rPr>
                <w:b/>
                <w:bCs/>
                <w:sz w:val="16"/>
                <w:szCs w:val="16"/>
              </w:rPr>
              <w:t xml:space="preserve">Harav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5"/>
              <w:gridCol w:w="5605"/>
            </w:tblGrid>
            <w:tr w:rsidR="00F304BA" w14:paraId="674CD5AD" w14:textId="77777777" w:rsidTr="00C014F8">
              <w:tc>
                <w:tcPr>
                  <w:tcW w:w="5605" w:type="dxa"/>
                  <w:tcBorders>
                    <w:bottom w:val="single" w:sz="4" w:space="0" w:color="auto"/>
                  </w:tcBorders>
                </w:tcPr>
                <w:p w14:paraId="3F94B768" w14:textId="77777777" w:rsidR="00F304BA" w:rsidRPr="001B6D29" w:rsidRDefault="00F304BA" w:rsidP="00F304BA">
                  <w:pPr>
                    <w:framePr w:hSpace="162" w:wrap="around" w:vAnchor="text" w:hAnchor="margin" w:xAlign="center" w:y="361"/>
                    <w:tabs>
                      <w:tab w:val="left" w:pos="743"/>
                    </w:tabs>
                    <w:bidi w:val="0"/>
                    <w:ind w:right="34"/>
                    <w:jc w:val="center"/>
                    <w:rPr>
                      <w:rFonts w:cs="Miriam"/>
                      <w:b/>
                      <w:bCs/>
                      <w:sz w:val="16"/>
                      <w:szCs w:val="16"/>
                      <w:lang w:eastAsia="he-IL"/>
                    </w:rPr>
                  </w:pPr>
                  <w:r w:rsidRPr="001B6D29">
                    <w:rPr>
                      <w:rFonts w:cs="Miriam"/>
                      <w:b/>
                      <w:bCs/>
                      <w:sz w:val="16"/>
                      <w:szCs w:val="16"/>
                      <w:lang w:eastAsia="he-IL"/>
                    </w:rPr>
                    <w:t xml:space="preserve">Mr. Yitzhak </w:t>
                  </w:r>
                  <w:proofErr w:type="spellStart"/>
                  <w:r w:rsidRPr="001B6D29">
                    <w:rPr>
                      <w:rFonts w:cs="Miriam"/>
                      <w:b/>
                      <w:bCs/>
                      <w:sz w:val="16"/>
                      <w:szCs w:val="16"/>
                      <w:lang w:eastAsia="he-IL"/>
                    </w:rPr>
                    <w:t>Aharon</w:t>
                  </w:r>
                  <w:proofErr w:type="spellEnd"/>
                  <w:r w:rsidRPr="001B6D29">
                    <w:rPr>
                      <w:rFonts w:cs="Miriam"/>
                      <w:b/>
                      <w:bCs/>
                      <w:sz w:val="16"/>
                      <w:szCs w:val="16"/>
                      <w:lang w:eastAsia="he-IL"/>
                    </w:rPr>
                    <w:t xml:space="preserve"> &amp; Mrs. </w:t>
                  </w:r>
                  <w:proofErr w:type="spellStart"/>
                  <w:r w:rsidRPr="001B6D29">
                    <w:rPr>
                      <w:rFonts w:cs="Miriam"/>
                      <w:b/>
                      <w:bCs/>
                      <w:sz w:val="16"/>
                      <w:szCs w:val="16"/>
                      <w:lang w:eastAsia="he-IL"/>
                    </w:rPr>
                    <w:t>Doba</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Moinester</w:t>
                  </w:r>
                  <w:proofErr w:type="spellEnd"/>
                  <w:r w:rsidRPr="001B6D29">
                    <w:rPr>
                      <w:rFonts w:cs="Miriam"/>
                      <w:b/>
                      <w:bCs/>
                      <w:sz w:val="16"/>
                      <w:szCs w:val="16"/>
                      <w:lang w:eastAsia="he-IL"/>
                    </w:rPr>
                    <w:t xml:space="preserve"> </w:t>
                  </w:r>
                  <w:proofErr w:type="spellStart"/>
                  <w:r w:rsidRPr="001B6D29">
                    <w:rPr>
                      <w:rFonts w:cs="Miriam"/>
                      <w:b/>
                      <w:bCs/>
                      <w:sz w:val="16"/>
                      <w:szCs w:val="16"/>
                      <w:lang w:eastAsia="he-IL"/>
                    </w:rPr>
                    <w:t>z"l</w:t>
                  </w:r>
                  <w:proofErr w:type="spellEnd"/>
                </w:p>
                <w:p w14:paraId="6AF30113" w14:textId="762E8DA5" w:rsidR="00F304BA" w:rsidRPr="00F304BA" w:rsidRDefault="00F304BA" w:rsidP="00F304BA">
                  <w:pPr>
                    <w:framePr w:hSpace="162" w:wrap="around" w:vAnchor="text" w:hAnchor="margin" w:xAlign="center" w:y="361"/>
                    <w:tabs>
                      <w:tab w:val="left" w:pos="743"/>
                    </w:tabs>
                    <w:bidi w:val="0"/>
                    <w:ind w:right="34"/>
                    <w:jc w:val="center"/>
                    <w:rPr>
                      <w:rFonts w:cs="Miriam"/>
                      <w:sz w:val="16"/>
                      <w:szCs w:val="16"/>
                      <w:lang w:eastAsia="he-IL"/>
                    </w:rPr>
                  </w:pPr>
                  <w:r w:rsidRPr="00F304BA">
                    <w:rPr>
                      <w:rFonts w:cs="Miriam"/>
                      <w:sz w:val="16"/>
                      <w:szCs w:val="16"/>
                      <w:lang w:eastAsia="he-IL"/>
                    </w:rPr>
                    <w:t>Elul 5, 5782 / Elul 23, 5774</w:t>
                  </w:r>
                </w:p>
              </w:tc>
              <w:tc>
                <w:tcPr>
                  <w:tcW w:w="5605" w:type="dxa"/>
                  <w:tcBorders>
                    <w:bottom w:val="single" w:sz="4" w:space="0" w:color="auto"/>
                  </w:tcBorders>
                </w:tcPr>
                <w:p w14:paraId="597A3D06" w14:textId="687F8788" w:rsidR="009063D2" w:rsidRDefault="009063D2" w:rsidP="009063D2">
                  <w:pPr>
                    <w:jc w:val="center"/>
                    <w:rPr>
                      <w:rFonts w:asciiTheme="minorBidi" w:hAnsiTheme="minorBidi" w:cstheme="minorBidi"/>
                      <w:sz w:val="16"/>
                      <w:szCs w:val="16"/>
                    </w:rPr>
                  </w:pPr>
                  <w:r w:rsidRPr="009D4B2A">
                    <w:rPr>
                      <w:rFonts w:asciiTheme="minorBidi" w:hAnsiTheme="minorBidi" w:cstheme="minorBidi"/>
                      <w:b/>
                      <w:bCs/>
                      <w:sz w:val="16"/>
                      <w:szCs w:val="16"/>
                    </w:rPr>
                    <w:t xml:space="preserve">George Weinstein, </w:t>
                  </w:r>
                  <w:r w:rsidRPr="009D4B2A">
                    <w:rPr>
                      <w:rFonts w:asciiTheme="minorBidi" w:hAnsiTheme="minorBidi" w:cstheme="minorBidi"/>
                      <w:sz w:val="16"/>
                      <w:szCs w:val="16"/>
                    </w:rPr>
                    <w:t>Gershon ben Yehudah Mayer</w:t>
                  </w:r>
                  <w:r>
                    <w:rPr>
                      <w:rFonts w:asciiTheme="minorBidi" w:hAnsiTheme="minorBidi" w:cstheme="minorBidi"/>
                      <w:sz w:val="16"/>
                      <w:szCs w:val="16"/>
                    </w:rPr>
                    <w:t xml:space="preserve"> </w:t>
                  </w:r>
                  <w:proofErr w:type="spellStart"/>
                  <w:r>
                    <w:rPr>
                      <w:rFonts w:asciiTheme="minorBidi" w:hAnsiTheme="minorBidi" w:cstheme="minorBidi"/>
                      <w:sz w:val="16"/>
                      <w:szCs w:val="16"/>
                    </w:rPr>
                    <w:t>z"l</w:t>
                  </w:r>
                  <w:proofErr w:type="spellEnd"/>
                  <w:r w:rsidRPr="009D4B2A">
                    <w:rPr>
                      <w:rFonts w:asciiTheme="minorBidi" w:hAnsiTheme="minorBidi" w:cstheme="minorBidi"/>
                      <w:sz w:val="16"/>
                      <w:szCs w:val="16"/>
                    </w:rPr>
                    <w:t xml:space="preserve"> </w:t>
                  </w:r>
                </w:p>
                <w:p w14:paraId="077D26F9" w14:textId="4893D271" w:rsidR="00F304BA" w:rsidRPr="009063D2" w:rsidRDefault="009063D2" w:rsidP="009063D2">
                  <w:pPr>
                    <w:jc w:val="center"/>
                    <w:rPr>
                      <w:rFonts w:asciiTheme="minorBidi" w:hAnsiTheme="minorBidi" w:cstheme="minorBidi"/>
                      <w:sz w:val="16"/>
                      <w:szCs w:val="16"/>
                    </w:rPr>
                  </w:pPr>
                  <w:r w:rsidRPr="009D4B2A">
                    <w:rPr>
                      <w:rFonts w:asciiTheme="minorBidi" w:hAnsiTheme="minorBidi" w:cstheme="minorBidi"/>
                      <w:sz w:val="16"/>
                      <w:szCs w:val="16"/>
                    </w:rPr>
                    <w:t>a lover of the Jewish Nation Torah and Land.</w:t>
                  </w:r>
                </w:p>
              </w:tc>
            </w:tr>
            <w:tr w:rsidR="00827FEA" w14:paraId="45CF8141" w14:textId="77777777" w:rsidTr="00C014F8">
              <w:tc>
                <w:tcPr>
                  <w:tcW w:w="5605" w:type="dxa"/>
                  <w:tcBorders>
                    <w:top w:val="single" w:sz="4" w:space="0" w:color="auto"/>
                    <w:bottom w:val="single" w:sz="4" w:space="0" w:color="auto"/>
                  </w:tcBorders>
                </w:tcPr>
                <w:p w14:paraId="4A6D0028" w14:textId="77777777" w:rsidR="00827FEA" w:rsidRPr="00827FEA" w:rsidRDefault="00827FEA" w:rsidP="00827FEA">
                  <w:pPr>
                    <w:framePr w:hSpace="162" w:wrap="around" w:vAnchor="text" w:hAnchor="margin" w:xAlign="center" w:y="361"/>
                    <w:bidi w:val="0"/>
                    <w:ind w:right="57"/>
                    <w:jc w:val="center"/>
                    <w:rPr>
                      <w:sz w:val="18"/>
                      <w:szCs w:val="18"/>
                    </w:rPr>
                  </w:pPr>
                  <w:r w:rsidRPr="00827FEA">
                    <w:rPr>
                      <w:rFonts w:asciiTheme="minorBidi" w:hAnsiTheme="minorBidi" w:cstheme="minorBidi"/>
                      <w:b/>
                      <w:bCs/>
                      <w:sz w:val="16"/>
                      <w:szCs w:val="16"/>
                    </w:rPr>
                    <w:t>Jack Levin</w:t>
                  </w:r>
                  <w:r w:rsidRPr="00827FEA">
                    <w:rPr>
                      <w:rFonts w:asciiTheme="minorBidi" w:hAnsiTheme="minorBidi" w:cstheme="minorBidi"/>
                      <w:sz w:val="16"/>
                      <w:szCs w:val="16"/>
                    </w:rPr>
                    <w:t xml:space="preserve"> </w:t>
                  </w:r>
                  <w:proofErr w:type="spellStart"/>
                  <w:r w:rsidRPr="00827FEA">
                    <w:rPr>
                      <w:rFonts w:asciiTheme="minorBidi" w:hAnsiTheme="minorBidi" w:cstheme="minorBidi"/>
                      <w:sz w:val="16"/>
                      <w:szCs w:val="16"/>
                    </w:rPr>
                    <w:t>z"l</w:t>
                  </w:r>
                  <w:proofErr w:type="spellEnd"/>
                </w:p>
                <w:p w14:paraId="44615420" w14:textId="77777777" w:rsidR="003955C6" w:rsidRDefault="00827FEA" w:rsidP="00827FEA">
                  <w:pPr>
                    <w:framePr w:hSpace="162" w:wrap="around" w:vAnchor="text" w:hAnchor="margin" w:xAlign="center" w:y="361"/>
                    <w:jc w:val="center"/>
                    <w:rPr>
                      <w:rFonts w:asciiTheme="minorBidi" w:hAnsiTheme="minorBidi" w:cstheme="minorBidi"/>
                      <w:sz w:val="16"/>
                      <w:szCs w:val="16"/>
                    </w:rPr>
                  </w:pPr>
                  <w:r w:rsidRPr="00827FEA">
                    <w:rPr>
                      <w:rFonts w:asciiTheme="minorBidi" w:hAnsiTheme="minorBidi" w:cstheme="minorBidi"/>
                      <w:sz w:val="16"/>
                      <w:szCs w:val="16"/>
                    </w:rPr>
                    <w:t xml:space="preserve"> Chaim Yaakov ben Shlomo Yitzchak </w:t>
                  </w:r>
                  <w:proofErr w:type="spellStart"/>
                  <w:r w:rsidRPr="00827FEA">
                    <w:rPr>
                      <w:rFonts w:asciiTheme="minorBidi" w:hAnsiTheme="minorBidi" w:cstheme="minorBidi"/>
                      <w:sz w:val="16"/>
                      <w:szCs w:val="16"/>
                    </w:rPr>
                    <w:t>HaLevi</w:t>
                  </w:r>
                  <w:proofErr w:type="spellEnd"/>
                  <w:r>
                    <w:rPr>
                      <w:rFonts w:asciiTheme="minorBidi" w:hAnsiTheme="minorBidi" w:cstheme="minorBidi"/>
                      <w:sz w:val="16"/>
                      <w:szCs w:val="16"/>
                    </w:rPr>
                    <w:t xml:space="preserve"> </w:t>
                  </w:r>
                </w:p>
                <w:p w14:paraId="4BBFDC1E" w14:textId="438E47B2" w:rsidR="00827FEA" w:rsidRDefault="00827FEA" w:rsidP="00827FEA">
                  <w:pPr>
                    <w:framePr w:hSpace="162" w:wrap="around" w:vAnchor="text" w:hAnchor="margin" w:xAlign="center" w:y="361"/>
                    <w:jc w:val="center"/>
                    <w:rPr>
                      <w:b/>
                      <w:bCs/>
                      <w:sz w:val="17"/>
                      <w:szCs w:val="17"/>
                    </w:rPr>
                  </w:pPr>
                  <w:r w:rsidRPr="00827FEA">
                    <w:rPr>
                      <w:rFonts w:asciiTheme="minorBidi" w:hAnsiTheme="minorBidi" w:cstheme="minorBidi"/>
                      <w:sz w:val="16"/>
                      <w:szCs w:val="16"/>
                    </w:rPr>
                    <w:t xml:space="preserve"> 29 Cheshvan</w:t>
                  </w:r>
                </w:p>
              </w:tc>
              <w:tc>
                <w:tcPr>
                  <w:tcW w:w="5605" w:type="dxa"/>
                  <w:tcBorders>
                    <w:top w:val="single" w:sz="4" w:space="0" w:color="auto"/>
                    <w:bottom w:val="single" w:sz="4" w:space="0" w:color="auto"/>
                  </w:tcBorders>
                </w:tcPr>
                <w:p w14:paraId="71057175" w14:textId="77777777" w:rsidR="00827FEA" w:rsidRDefault="00827FEA" w:rsidP="00827FEA">
                  <w:pPr>
                    <w:bidi w:val="0"/>
                    <w:ind w:right="34"/>
                    <w:jc w:val="center"/>
                    <w:rPr>
                      <w:rFonts w:cs="Times New Roman"/>
                      <w:sz w:val="16"/>
                      <w:szCs w:val="16"/>
                    </w:rPr>
                  </w:pPr>
                  <w:bookmarkStart w:id="3" w:name="_Hlk182916386"/>
                  <w:r w:rsidRPr="00827FEA">
                    <w:rPr>
                      <w:rFonts w:cs="Times New Roman"/>
                      <w:b/>
                      <w:bCs/>
                      <w:sz w:val="16"/>
                      <w:szCs w:val="16"/>
                    </w:rPr>
                    <w:t xml:space="preserve">Tamar </w:t>
                  </w:r>
                  <w:proofErr w:type="spellStart"/>
                  <w:r w:rsidRPr="00827FEA">
                    <w:rPr>
                      <w:rFonts w:cs="Times New Roman"/>
                      <w:b/>
                      <w:bCs/>
                      <w:sz w:val="16"/>
                      <w:szCs w:val="16"/>
                    </w:rPr>
                    <w:t>Lichtenstadt</w:t>
                  </w:r>
                  <w:proofErr w:type="spellEnd"/>
                  <w:r w:rsidRPr="00827FEA">
                    <w:rPr>
                      <w:rFonts w:cs="Times New Roman"/>
                      <w:sz w:val="16"/>
                      <w:szCs w:val="16"/>
                    </w:rPr>
                    <w:t xml:space="preserve"> </w:t>
                  </w:r>
                  <w:proofErr w:type="spellStart"/>
                  <w:proofErr w:type="gramStart"/>
                  <w:r w:rsidRPr="00827FEA">
                    <w:rPr>
                      <w:rFonts w:cs="Times New Roman"/>
                      <w:sz w:val="16"/>
                      <w:szCs w:val="16"/>
                    </w:rPr>
                    <w:t>z”l</w:t>
                  </w:r>
                  <w:proofErr w:type="spellEnd"/>
                  <w:proofErr w:type="gramEnd"/>
                  <w:r>
                    <w:rPr>
                      <w:rFonts w:cs="Times New Roman"/>
                      <w:sz w:val="16"/>
                      <w:szCs w:val="16"/>
                    </w:rPr>
                    <w:t xml:space="preserve"> </w:t>
                  </w:r>
                </w:p>
                <w:p w14:paraId="249C4D0C" w14:textId="7AAD9A4D" w:rsidR="00827FEA" w:rsidRPr="00827FEA" w:rsidRDefault="00827FEA" w:rsidP="00827FEA">
                  <w:pPr>
                    <w:bidi w:val="0"/>
                    <w:ind w:right="34"/>
                    <w:jc w:val="center"/>
                    <w:rPr>
                      <w:rFonts w:cs="Times New Roman"/>
                      <w:sz w:val="16"/>
                      <w:szCs w:val="16"/>
                    </w:rPr>
                  </w:pPr>
                  <w:r w:rsidRPr="00827FEA">
                    <w:rPr>
                      <w:rFonts w:cs="Times New Roman"/>
                      <w:sz w:val="16"/>
                      <w:szCs w:val="16"/>
                    </w:rPr>
                    <w:t>27 Cheshvan</w:t>
                  </w:r>
                  <w:bookmarkEnd w:id="3"/>
                </w:p>
                <w:p w14:paraId="1A6C3F92" w14:textId="77777777" w:rsidR="00827FEA" w:rsidRDefault="00827FEA" w:rsidP="00827FEA">
                  <w:pPr>
                    <w:framePr w:hSpace="162" w:wrap="around" w:vAnchor="text" w:hAnchor="margin" w:xAlign="center" w:y="361"/>
                    <w:bidi w:val="0"/>
                    <w:jc w:val="center"/>
                    <w:rPr>
                      <w:b/>
                      <w:bCs/>
                      <w:sz w:val="17"/>
                      <w:szCs w:val="17"/>
                    </w:rPr>
                  </w:pPr>
                </w:p>
              </w:tc>
            </w:tr>
          </w:tbl>
          <w:p w14:paraId="59428857" w14:textId="53E337A2" w:rsidR="00516A08" w:rsidRPr="00133962" w:rsidRDefault="00516A08" w:rsidP="004967FA">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5C8C22CC" w:rsidR="00516A08" w:rsidRPr="00133962" w:rsidRDefault="00516A08" w:rsidP="00F85616">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0C65DCC8" w:rsidR="00133962" w:rsidRPr="00133962" w:rsidRDefault="003955C6" w:rsidP="00C54EBE">
            <w:pPr>
              <w:bidi w:val="0"/>
              <w:ind w:left="34"/>
              <w:contextualSpacing/>
              <w:jc w:val="center"/>
              <w:rPr>
                <w:sz w:val="16"/>
                <w:szCs w:val="16"/>
              </w:rPr>
            </w:pPr>
            <w:r>
              <w:rPr>
                <w:noProof/>
              </w:rPr>
              <w:drawing>
                <wp:anchor distT="0" distB="0" distL="114300" distR="114300" simplePos="0" relativeHeight="251658752" behindDoc="1" locked="0" layoutInCell="1" allowOverlap="1" wp14:anchorId="650FB05C" wp14:editId="01FDD626">
                  <wp:simplePos x="0" y="0"/>
                  <wp:positionH relativeFrom="margin">
                    <wp:posOffset>-158750</wp:posOffset>
                  </wp:positionH>
                  <wp:positionV relativeFrom="paragraph">
                    <wp:posOffset>-3355340</wp:posOffset>
                  </wp:positionV>
                  <wp:extent cx="7498080" cy="38735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87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962" w:rsidRPr="00133962">
              <w:rPr>
                <w:b/>
                <w:bCs/>
                <w:sz w:val="18"/>
                <w:szCs w:val="18"/>
              </w:rPr>
              <w:t>Those who fell in wars for our homeland. May Hashem avenge their blood!</w:t>
            </w:r>
          </w:p>
        </w:tc>
      </w:tr>
    </w:tbl>
    <w:p w14:paraId="3F4BDB08" w14:textId="4E28C04B" w:rsidR="00034F59" w:rsidRDefault="00034F59" w:rsidP="00F304BA">
      <w:pPr>
        <w:bidi w:val="0"/>
        <w:ind w:firstLine="426"/>
        <w:jc w:val="center"/>
      </w:pPr>
      <w:bookmarkStart w:id="4" w:name="_Hlk174962969"/>
      <w:bookmarkEnd w:id="2"/>
      <w:bookmarkEnd w:id="4"/>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603CCD24" w14:textId="77777777" w:rsidR="00202AC2" w:rsidRDefault="00202AC2" w:rsidP="00202AC2">
      <w:pPr>
        <w:tabs>
          <w:tab w:val="left" w:pos="1803"/>
        </w:tabs>
        <w:bidi w:val="0"/>
        <w:rPr>
          <w:noProof/>
        </w:rPr>
      </w:pPr>
    </w:p>
    <w:p w14:paraId="652402EB" w14:textId="7A58CD77" w:rsidR="00040676" w:rsidRDefault="00582D3E" w:rsidP="008821E9">
      <w:pPr>
        <w:tabs>
          <w:tab w:val="left" w:pos="1803"/>
        </w:tabs>
        <w:bidi w:val="0"/>
      </w:pPr>
      <w:r>
        <w:rPr>
          <w:noProof/>
        </w:rPr>
        <w:drawing>
          <wp:anchor distT="0" distB="0" distL="114300" distR="114300" simplePos="0" relativeHeight="251663872" behindDoc="0" locked="1" layoutInCell="1" allowOverlap="1" wp14:anchorId="705C63DE" wp14:editId="761B5A3B">
            <wp:simplePos x="0" y="0"/>
            <wp:positionH relativeFrom="margin">
              <wp:align>left</wp:align>
            </wp:positionH>
            <wp:positionV relativeFrom="paragraph">
              <wp:posOffset>-622935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1FC6DEF0" w14:textId="77777777" w:rsidR="003955C6" w:rsidRDefault="003955C6" w:rsidP="003955C6">
      <w:pPr>
        <w:bidi w:val="0"/>
        <w:rPr>
          <w:b/>
          <w:bCs/>
          <w:i/>
          <w:iCs/>
        </w:rPr>
      </w:pPr>
      <w:bookmarkStart w:id="5" w:name="_Hlk211592592"/>
      <w:r>
        <w:rPr>
          <w:b/>
          <w:bCs/>
          <w:color w:val="D85640"/>
          <w:sz w:val="28"/>
          <w:szCs w:val="28"/>
        </w:rPr>
        <w:t xml:space="preserve">Drawer with Aluminum Foil Roll </w:t>
      </w:r>
    </w:p>
    <w:p w14:paraId="2B636BF0" w14:textId="77777777" w:rsidR="003955C6" w:rsidRDefault="003955C6" w:rsidP="003955C6">
      <w:pPr>
        <w:bidi w:val="0"/>
        <w:rPr>
          <w:b/>
          <w:bCs/>
          <w:color w:val="D85640"/>
        </w:rPr>
      </w:pPr>
    </w:p>
    <w:p w14:paraId="2030AC5B" w14:textId="77777777" w:rsidR="003955C6" w:rsidRDefault="003955C6" w:rsidP="00A34551">
      <w:pPr>
        <w:shd w:val="clear" w:color="auto" w:fill="FFFFFF"/>
        <w:bidi w:val="0"/>
        <w:rPr>
          <w:color w:val="222222"/>
        </w:rPr>
      </w:pPr>
      <w:r w:rsidRPr="003955C6">
        <w:rPr>
          <w:b/>
          <w:bCs/>
          <w:color w:val="D85640"/>
          <w:sz w:val="24"/>
          <w:szCs w:val="24"/>
          <w:u w:val="single"/>
        </w:rPr>
        <w:t>Question</w:t>
      </w:r>
      <w:r w:rsidRPr="003955C6">
        <w:rPr>
          <w:b/>
          <w:bCs/>
          <w:color w:val="D85640"/>
          <w:sz w:val="24"/>
          <w:szCs w:val="24"/>
        </w:rPr>
        <w:t>:</w:t>
      </w:r>
      <w:r w:rsidRPr="003955C6">
        <w:rPr>
          <w:sz w:val="24"/>
          <w:szCs w:val="24"/>
        </w:rPr>
        <w:t xml:space="preserve"> </w:t>
      </w:r>
      <w:r>
        <w:rPr>
          <w:color w:val="222222"/>
          <w:shd w:val="clear" w:color="auto" w:fill="FFFFFF"/>
        </w:rPr>
        <w:t xml:space="preserve">In one of my kitchen cabinet drawers, I keep a roll of aluminum foil along with items I may use on Shabbat. May I open this drawer on Shabbat?  </w:t>
      </w:r>
    </w:p>
    <w:bookmarkEnd w:id="5"/>
    <w:p w14:paraId="0650F48E" w14:textId="77777777" w:rsidR="003955C6" w:rsidRDefault="003955C6" w:rsidP="00A34551">
      <w:pPr>
        <w:bidi w:val="0"/>
        <w:rPr>
          <w:sz w:val="24"/>
          <w:szCs w:val="24"/>
          <w:lang w:eastAsia="he-IL"/>
        </w:rPr>
      </w:pPr>
    </w:p>
    <w:p w14:paraId="6AC2A8BA" w14:textId="77777777" w:rsidR="003955C6" w:rsidRDefault="003955C6" w:rsidP="00A34551">
      <w:pPr>
        <w:bidi w:val="0"/>
        <w:ind w:right="26"/>
        <w:rPr>
          <w:u w:val="single"/>
          <w:lang w:val="en-GB"/>
        </w:rPr>
      </w:pPr>
      <w:r w:rsidRPr="003955C6">
        <w:rPr>
          <w:b/>
          <w:bCs/>
          <w:color w:val="D85640"/>
          <w:sz w:val="24"/>
          <w:szCs w:val="24"/>
          <w:u w:val="single"/>
        </w:rPr>
        <w:t>Answer</w:t>
      </w:r>
      <w:r w:rsidRPr="003955C6">
        <w:rPr>
          <w:b/>
          <w:bCs/>
          <w:color w:val="D85640"/>
          <w:sz w:val="24"/>
          <w:szCs w:val="24"/>
        </w:rPr>
        <w:t>:</w:t>
      </w:r>
      <w:r w:rsidRPr="003955C6">
        <w:rPr>
          <w:sz w:val="24"/>
          <w:szCs w:val="24"/>
        </w:rPr>
        <w:t xml:space="preserve"> </w:t>
      </w:r>
      <w:r>
        <w:t xml:space="preserve">We will first identify a roll of aluminum foil’s </w:t>
      </w:r>
      <w:proofErr w:type="spellStart"/>
      <w:r>
        <w:rPr>
          <w:i/>
          <w:iCs/>
        </w:rPr>
        <w:t>muktzeh</w:t>
      </w:r>
      <w:proofErr w:type="spellEnd"/>
      <w:r>
        <w:t xml:space="preserve"> status. An object that is not fit for use on the present Shabbat is </w:t>
      </w:r>
      <w:proofErr w:type="spellStart"/>
      <w:r>
        <w:rPr>
          <w:i/>
          <w:iCs/>
        </w:rPr>
        <w:t>muktzeh</w:t>
      </w:r>
      <w:proofErr w:type="spellEnd"/>
      <w:r>
        <w:t xml:space="preserve">. If it is a usable “utensil,” but its main use is for forbidden purposes, it is </w:t>
      </w:r>
      <w:r>
        <w:rPr>
          <w:lang w:val="en-GB"/>
        </w:rPr>
        <w:t xml:space="preserve">a relatively lenient form of </w:t>
      </w:r>
      <w:proofErr w:type="spellStart"/>
      <w:r>
        <w:rPr>
          <w:i/>
          <w:iCs/>
          <w:lang w:val="en-GB"/>
        </w:rPr>
        <w:t>muktzeh</w:t>
      </w:r>
      <w:proofErr w:type="spellEnd"/>
      <w:r>
        <w:rPr>
          <w:lang w:val="en-GB"/>
        </w:rPr>
        <w:t xml:space="preserve"> called </w:t>
      </w:r>
      <w:proofErr w:type="spellStart"/>
      <w:r>
        <w:rPr>
          <w:i/>
          <w:iCs/>
          <w:lang w:val="en-GB"/>
        </w:rPr>
        <w:t>kli</w:t>
      </w:r>
      <w:proofErr w:type="spellEnd"/>
      <w:r>
        <w:rPr>
          <w:i/>
          <w:iCs/>
          <w:lang w:val="en-GB"/>
        </w:rPr>
        <w:t xml:space="preserve"> </w:t>
      </w:r>
      <w:proofErr w:type="spellStart"/>
      <w:r>
        <w:rPr>
          <w:i/>
          <w:iCs/>
          <w:lang w:val="en-GB"/>
        </w:rPr>
        <w:t>shemelachto</w:t>
      </w:r>
      <w:proofErr w:type="spellEnd"/>
      <w:r>
        <w:rPr>
          <w:i/>
          <w:iCs/>
          <w:lang w:val="en-GB"/>
        </w:rPr>
        <w:t xml:space="preserve"> </w:t>
      </w:r>
      <w:proofErr w:type="spellStart"/>
      <w:r>
        <w:rPr>
          <w:i/>
          <w:iCs/>
          <w:lang w:val="en-GB"/>
        </w:rPr>
        <w:t>l’issur</w:t>
      </w:r>
      <w:proofErr w:type="spellEnd"/>
      <w:r>
        <w:rPr>
          <w:lang w:val="en-GB"/>
        </w:rPr>
        <w:t xml:space="preserve">. If it is not yet a utensil (or a food) and making it one would require a Shabbat violation or a pre-Shabbat designation for permitted usage, it is the more severe </w:t>
      </w:r>
      <w:proofErr w:type="spellStart"/>
      <w:r>
        <w:rPr>
          <w:i/>
          <w:iCs/>
          <w:lang w:val="en-GB"/>
        </w:rPr>
        <w:t>muktzeh</w:t>
      </w:r>
      <w:proofErr w:type="spellEnd"/>
      <w:r>
        <w:rPr>
          <w:i/>
          <w:iCs/>
          <w:lang w:val="en-GB"/>
        </w:rPr>
        <w:t xml:space="preserve"> </w:t>
      </w:r>
      <w:proofErr w:type="spellStart"/>
      <w:r>
        <w:rPr>
          <w:i/>
          <w:iCs/>
          <w:lang w:val="en-GB"/>
        </w:rPr>
        <w:t>machamat</w:t>
      </w:r>
      <w:proofErr w:type="spellEnd"/>
      <w:r>
        <w:rPr>
          <w:i/>
          <w:iCs/>
          <w:lang w:val="en-GB"/>
        </w:rPr>
        <w:t xml:space="preserve"> </w:t>
      </w:r>
      <w:proofErr w:type="spellStart"/>
      <w:r>
        <w:rPr>
          <w:i/>
          <w:iCs/>
          <w:lang w:val="en-GB"/>
        </w:rPr>
        <w:t>gufo</w:t>
      </w:r>
      <w:proofErr w:type="spellEnd"/>
      <w:r>
        <w:rPr>
          <w:lang w:val="en-GB"/>
        </w:rPr>
        <w:t xml:space="preserve"> (intrinsic </w:t>
      </w:r>
      <w:proofErr w:type="spellStart"/>
      <w:r>
        <w:rPr>
          <w:i/>
          <w:iCs/>
          <w:lang w:val="en-GB"/>
        </w:rPr>
        <w:t>muktzeh</w:t>
      </w:r>
      <w:proofErr w:type="spellEnd"/>
      <w:r>
        <w:rPr>
          <w:lang w:val="en-GB"/>
        </w:rPr>
        <w:t xml:space="preserve">) (see Shulchan </w:t>
      </w:r>
      <w:proofErr w:type="spellStart"/>
      <w:r>
        <w:rPr>
          <w:lang w:val="en-GB"/>
        </w:rPr>
        <w:t>Aruch</w:t>
      </w:r>
      <w:proofErr w:type="spellEnd"/>
      <w:r>
        <w:rPr>
          <w:lang w:val="en-GB"/>
        </w:rPr>
        <w:t xml:space="preserve">, </w:t>
      </w:r>
      <w:proofErr w:type="spellStart"/>
      <w:r>
        <w:rPr>
          <w:lang w:val="en-GB"/>
        </w:rPr>
        <w:t>Orach</w:t>
      </w:r>
      <w:proofErr w:type="spellEnd"/>
      <w:r>
        <w:rPr>
          <w:lang w:val="en-GB"/>
        </w:rPr>
        <w:t xml:space="preserve"> Chayim 308:38; Rama ad loc. 7).   </w:t>
      </w:r>
    </w:p>
    <w:p w14:paraId="48CFC9CD" w14:textId="77777777" w:rsidR="003955C6" w:rsidRDefault="003955C6" w:rsidP="00A34551">
      <w:pPr>
        <w:bidi w:val="0"/>
        <w:ind w:firstLine="450"/>
      </w:pPr>
      <w:r>
        <w:t xml:space="preserve">Aluminum foil is not used when on its roll; rather, one cuts a piece to size for its present purpose, which is then a usable utensil. Since it is forbidden to cut such a piece (see </w:t>
      </w:r>
      <w:proofErr w:type="spellStart"/>
      <w:r>
        <w:t>Orchot</w:t>
      </w:r>
      <w:proofErr w:type="spellEnd"/>
      <w:r>
        <w:t xml:space="preserve"> Shabbat 19:125), we view the roll according to its present stage – as an unusable object (ibid.). (A roll of toilet paper, though, is not </w:t>
      </w:r>
      <w:proofErr w:type="spellStart"/>
      <w:r>
        <w:rPr>
          <w:i/>
          <w:iCs/>
        </w:rPr>
        <w:t>muktzeh</w:t>
      </w:r>
      <w:proofErr w:type="spellEnd"/>
      <w:r>
        <w:t xml:space="preserve"> (ibid. 126) because when there are no viable alternatives, there are halachic ways to use the toilet paper (see Living the Halachic Process I, C-16)).</w:t>
      </w:r>
    </w:p>
    <w:p w14:paraId="667D9C54" w14:textId="77777777" w:rsidR="003955C6" w:rsidRDefault="003955C6" w:rsidP="00A34551">
      <w:pPr>
        <w:bidi w:val="0"/>
        <w:ind w:firstLine="450"/>
      </w:pPr>
      <w:r>
        <w:t xml:space="preserve">When a </w:t>
      </w:r>
      <w:proofErr w:type="spellStart"/>
      <w:r>
        <w:rPr>
          <w:i/>
          <w:iCs/>
        </w:rPr>
        <w:t>muktzeh</w:t>
      </w:r>
      <w:proofErr w:type="spellEnd"/>
      <w:r>
        <w:rPr>
          <w:i/>
          <w:iCs/>
        </w:rPr>
        <w:t xml:space="preserve"> </w:t>
      </w:r>
      <w:r>
        <w:t>item rests on an otherwise non-</w:t>
      </w:r>
      <w:proofErr w:type="spellStart"/>
      <w:r>
        <w:rPr>
          <w:i/>
          <w:iCs/>
        </w:rPr>
        <w:t>muktzeh</w:t>
      </w:r>
      <w:proofErr w:type="spellEnd"/>
      <w:r>
        <w:t xml:space="preserve"> object, the “base” can take on the </w:t>
      </w:r>
      <w:proofErr w:type="spellStart"/>
      <w:r>
        <w:rPr>
          <w:i/>
          <w:iCs/>
        </w:rPr>
        <w:t>muktzeh</w:t>
      </w:r>
      <w:proofErr w:type="spellEnd"/>
      <w:r>
        <w:rPr>
          <w:i/>
          <w:iCs/>
        </w:rPr>
        <w:t xml:space="preserve"> </w:t>
      </w:r>
      <w:r>
        <w:t xml:space="preserve">item’s status, based on a concept called </w:t>
      </w:r>
      <w:proofErr w:type="spellStart"/>
      <w:r>
        <w:rPr>
          <w:i/>
          <w:iCs/>
        </w:rPr>
        <w:t>bassis</w:t>
      </w:r>
      <w:proofErr w:type="spellEnd"/>
      <w:r>
        <w:rPr>
          <w:i/>
          <w:iCs/>
        </w:rPr>
        <w:t xml:space="preserve"> </w:t>
      </w:r>
      <w:proofErr w:type="spellStart"/>
      <w:r>
        <w:rPr>
          <w:i/>
          <w:iCs/>
        </w:rPr>
        <w:t>l’davar</w:t>
      </w:r>
      <w:proofErr w:type="spellEnd"/>
      <w:r>
        <w:rPr>
          <w:i/>
          <w:iCs/>
        </w:rPr>
        <w:t xml:space="preserve"> </w:t>
      </w:r>
      <w:proofErr w:type="spellStart"/>
      <w:r>
        <w:rPr>
          <w:i/>
          <w:iCs/>
        </w:rPr>
        <w:t>ha’asur</w:t>
      </w:r>
      <w:proofErr w:type="spellEnd"/>
      <w:r>
        <w:t xml:space="preserve"> (Shulchan </w:t>
      </w:r>
      <w:proofErr w:type="spellStart"/>
      <w:r>
        <w:t>Aruch</w:t>
      </w:r>
      <w:proofErr w:type="spellEnd"/>
      <w:r>
        <w:t xml:space="preserve">, OC 310:7). There are several conditions for the status of </w:t>
      </w:r>
      <w:proofErr w:type="spellStart"/>
      <w:r>
        <w:rPr>
          <w:i/>
          <w:iCs/>
        </w:rPr>
        <w:t>bassis</w:t>
      </w:r>
      <w:proofErr w:type="spellEnd"/>
      <w:r>
        <w:t xml:space="preserve"> to exist: 1) The </w:t>
      </w:r>
      <w:proofErr w:type="spellStart"/>
      <w:r>
        <w:rPr>
          <w:i/>
          <w:iCs/>
        </w:rPr>
        <w:t>muktzeh</w:t>
      </w:r>
      <w:proofErr w:type="spellEnd"/>
      <w:r>
        <w:t xml:space="preserve"> was on the base when Shabbat entered (ibid.; Mishna </w:t>
      </w:r>
      <w:proofErr w:type="spellStart"/>
      <w:r>
        <w:t>Berura</w:t>
      </w:r>
      <w:proofErr w:type="spellEnd"/>
      <w:r>
        <w:t xml:space="preserve"> 266:26). 2) The </w:t>
      </w:r>
      <w:proofErr w:type="spellStart"/>
      <w:r>
        <w:rPr>
          <w:i/>
          <w:iCs/>
        </w:rPr>
        <w:t>muktzeh</w:t>
      </w:r>
      <w:proofErr w:type="spellEnd"/>
      <w:r>
        <w:t xml:space="preserve"> was placed with the intention that it would remain there on Shabbat in a significant manner (Shulchan </w:t>
      </w:r>
      <w:proofErr w:type="spellStart"/>
      <w:r>
        <w:t>Aruch</w:t>
      </w:r>
      <w:proofErr w:type="spellEnd"/>
      <w:r>
        <w:t xml:space="preserve">, OC </w:t>
      </w:r>
      <w:r>
        <w:rPr>
          <w:rFonts w:hint="cs"/>
          <w:rtl/>
        </w:rPr>
        <w:t>309</w:t>
      </w:r>
      <w:r>
        <w:t xml:space="preserve">:4; see </w:t>
      </w:r>
      <w:proofErr w:type="spellStart"/>
      <w:r>
        <w:t>Shemirat</w:t>
      </w:r>
      <w:proofErr w:type="spellEnd"/>
      <w:r>
        <w:t xml:space="preserve"> Shabbat </w:t>
      </w:r>
      <w:proofErr w:type="spellStart"/>
      <w:r>
        <w:t>K’hilchata</w:t>
      </w:r>
      <w:proofErr w:type="spellEnd"/>
      <w:r>
        <w:t xml:space="preserve"> 20:520). 3) The </w:t>
      </w:r>
      <w:proofErr w:type="spellStart"/>
      <w:r>
        <w:rPr>
          <w:i/>
          <w:iCs/>
        </w:rPr>
        <w:t>muktzeh</w:t>
      </w:r>
      <w:proofErr w:type="spellEnd"/>
      <w:r>
        <w:t xml:space="preserve"> item(s) is more “important” than non-</w:t>
      </w:r>
      <w:proofErr w:type="spellStart"/>
      <w:r>
        <w:rPr>
          <w:i/>
          <w:iCs/>
        </w:rPr>
        <w:t>muktzeh</w:t>
      </w:r>
      <w:proofErr w:type="spellEnd"/>
      <w:r>
        <w:t xml:space="preserve"> items that also rest there (Shulchan </w:t>
      </w:r>
      <w:proofErr w:type="spellStart"/>
      <w:r>
        <w:t>Aruch</w:t>
      </w:r>
      <w:proofErr w:type="spellEnd"/>
      <w:r>
        <w:t>, OC 310:8).</w:t>
      </w:r>
    </w:p>
    <w:p w14:paraId="7BE34111" w14:textId="77777777" w:rsidR="003955C6" w:rsidRDefault="003955C6" w:rsidP="00A34551">
      <w:pPr>
        <w:bidi w:val="0"/>
        <w:ind w:firstLine="450"/>
      </w:pPr>
      <w:r>
        <w:t xml:space="preserve">From your description, it sounds like conditions 1 and 2 are met, so the question depends on whether the aluminum foil (and other </w:t>
      </w:r>
      <w:proofErr w:type="spellStart"/>
      <w:r>
        <w:rPr>
          <w:i/>
          <w:iCs/>
        </w:rPr>
        <w:t>muktzeh</w:t>
      </w:r>
      <w:proofErr w:type="spellEnd"/>
      <w:r>
        <w:t xml:space="preserve"> items) is more important than the non-</w:t>
      </w:r>
      <w:proofErr w:type="spellStart"/>
      <w:r>
        <w:rPr>
          <w:i/>
          <w:iCs/>
        </w:rPr>
        <w:t>muktzeh</w:t>
      </w:r>
      <w:proofErr w:type="spellEnd"/>
      <w:r>
        <w:t xml:space="preserve">. In this context, a </w:t>
      </w:r>
      <w:proofErr w:type="spellStart"/>
      <w:r>
        <w:rPr>
          <w:i/>
          <w:iCs/>
        </w:rPr>
        <w:t>kli</w:t>
      </w:r>
      <w:proofErr w:type="spellEnd"/>
      <w:r>
        <w:rPr>
          <w:i/>
          <w:iCs/>
        </w:rPr>
        <w:t xml:space="preserve"> </w:t>
      </w:r>
      <w:proofErr w:type="spellStart"/>
      <w:r>
        <w:rPr>
          <w:i/>
          <w:iCs/>
        </w:rPr>
        <w:t>shemelachto</w:t>
      </w:r>
      <w:proofErr w:type="spellEnd"/>
      <w:r>
        <w:rPr>
          <w:i/>
          <w:iCs/>
        </w:rPr>
        <w:t xml:space="preserve"> </w:t>
      </w:r>
      <w:proofErr w:type="spellStart"/>
      <w:r>
        <w:rPr>
          <w:i/>
          <w:iCs/>
        </w:rPr>
        <w:t>l’issur</w:t>
      </w:r>
      <w:proofErr w:type="spellEnd"/>
      <w:r>
        <w:rPr>
          <w:i/>
          <w:iCs/>
        </w:rPr>
        <w:t xml:space="preserve"> </w:t>
      </w:r>
      <w:r>
        <w:t>is treated as non-</w:t>
      </w:r>
      <w:proofErr w:type="spellStart"/>
      <w:r>
        <w:rPr>
          <w:i/>
          <w:iCs/>
        </w:rPr>
        <w:t>muktzeh</w:t>
      </w:r>
      <w:proofErr w:type="spellEnd"/>
      <w:r>
        <w:t>. Since such items may be moved for usage purpose and when they are in the way (ibid. 308:3), the drawer may be opened to make available the objects you wish to use and then closed.</w:t>
      </w:r>
    </w:p>
    <w:p w14:paraId="5844215C" w14:textId="77777777" w:rsidR="003955C6" w:rsidRDefault="003955C6" w:rsidP="00A34551">
      <w:pPr>
        <w:bidi w:val="0"/>
        <w:ind w:firstLine="450"/>
      </w:pPr>
      <w:r>
        <w:t xml:space="preserve">The individual homeowner’s perspective on importance is the determinant (Mishna </w:t>
      </w:r>
      <w:proofErr w:type="spellStart"/>
      <w:r>
        <w:t>Berura</w:t>
      </w:r>
      <w:proofErr w:type="spellEnd"/>
      <w:r>
        <w:t xml:space="preserve"> 310:33). A prominent early source, the Magen Avraham (277:8), posits that </w:t>
      </w:r>
      <w:proofErr w:type="spellStart"/>
      <w:r>
        <w:rPr>
          <w:i/>
          <w:iCs/>
        </w:rPr>
        <w:t>challa</w:t>
      </w:r>
      <w:proofErr w:type="spellEnd"/>
      <w:r>
        <w:rPr>
          <w:i/>
          <w:iCs/>
        </w:rPr>
        <w:t xml:space="preserve"> </w:t>
      </w:r>
      <w:r>
        <w:t xml:space="preserve">is more important than the candles on the table. However, regarding more exact parameters, there are many opinions (see </w:t>
      </w:r>
      <w:proofErr w:type="spellStart"/>
      <w:r>
        <w:t>Orchot</w:t>
      </w:r>
      <w:proofErr w:type="spellEnd"/>
      <w:r>
        <w:t xml:space="preserve"> Shabbat 19:(414)). Some suggest that importance depends on overall value to the person (i.e., if he could choose what to hold on to, which would it be, so that price is crucial) (Q&amp;A 14 of Rav S.Z. Auerbach in </w:t>
      </w:r>
      <w:proofErr w:type="spellStart"/>
      <w:r>
        <w:t>Tiltulei</w:t>
      </w:r>
      <w:proofErr w:type="spellEnd"/>
      <w:r>
        <w:t xml:space="preserve"> Shabbat). Other opinions stress functionally in the specific context (</w:t>
      </w:r>
      <w:proofErr w:type="spellStart"/>
      <w:r>
        <w:t>Igrot</w:t>
      </w:r>
      <w:proofErr w:type="spellEnd"/>
      <w:r>
        <w:t xml:space="preserve"> Moshe, OC V, 22.17 assumes that glasses are more important than a relatively large amount of money, but only if it is his only pair). Still others consider the relationship between the objects and the specific </w:t>
      </w:r>
      <w:proofErr w:type="spellStart"/>
      <w:r>
        <w:rPr>
          <w:i/>
          <w:iCs/>
        </w:rPr>
        <w:t>bassis</w:t>
      </w:r>
      <w:proofErr w:type="spellEnd"/>
      <w:r>
        <w:t xml:space="preserve"> (</w:t>
      </w:r>
      <w:proofErr w:type="spellStart"/>
      <w:r>
        <w:t>Shevet</w:t>
      </w:r>
      <w:proofErr w:type="spellEnd"/>
      <w:r>
        <w:t xml:space="preserve"> Halevi VIII:52 says that a </w:t>
      </w:r>
      <w:proofErr w:type="spellStart"/>
      <w:r>
        <w:rPr>
          <w:i/>
          <w:iCs/>
        </w:rPr>
        <w:t>challa</w:t>
      </w:r>
      <w:proofErr w:type="spellEnd"/>
      <w:r>
        <w:t xml:space="preserve"> is more important than candles/candlesticks on a table where one eats). </w:t>
      </w:r>
      <w:proofErr w:type="spellStart"/>
      <w:r>
        <w:t>Shemirat</w:t>
      </w:r>
      <w:proofErr w:type="spellEnd"/>
      <w:r>
        <w:t xml:space="preserve"> Shabbat </w:t>
      </w:r>
      <w:proofErr w:type="spellStart"/>
      <w:r>
        <w:t>K’hilchata</w:t>
      </w:r>
      <w:proofErr w:type="spellEnd"/>
      <w:r>
        <w:t xml:space="preserve"> (20:55) posits that it is crucial for the permitted object to be necessary for Shabbat. In any case, these parameters are unlikely to make a difference in a drawer used for general storage, where many things could possibly be used at this time. </w:t>
      </w:r>
    </w:p>
    <w:p w14:paraId="48C0ADBF" w14:textId="77777777" w:rsidR="003955C6" w:rsidRDefault="003955C6" w:rsidP="00A34551">
      <w:pPr>
        <w:bidi w:val="0"/>
        <w:ind w:firstLine="450"/>
      </w:pPr>
      <w:r>
        <w:t xml:space="preserve">Usually, when a </w:t>
      </w:r>
      <w:proofErr w:type="spellStart"/>
      <w:r>
        <w:rPr>
          <w:i/>
          <w:iCs/>
        </w:rPr>
        <w:t>muktzeh</w:t>
      </w:r>
      <w:proofErr w:type="spellEnd"/>
      <w:r>
        <w:rPr>
          <w:i/>
          <w:iCs/>
        </w:rPr>
        <w:t xml:space="preserve"> </w:t>
      </w:r>
      <w:r>
        <w:t xml:space="preserve">item does not make the base a </w:t>
      </w:r>
      <w:proofErr w:type="spellStart"/>
      <w:r>
        <w:rPr>
          <w:i/>
          <w:iCs/>
        </w:rPr>
        <w:t>bassis</w:t>
      </w:r>
      <w:proofErr w:type="spellEnd"/>
      <w:r>
        <w:t xml:space="preserve">, we should still shake off the </w:t>
      </w:r>
      <w:proofErr w:type="spellStart"/>
      <w:r>
        <w:rPr>
          <w:i/>
          <w:iCs/>
        </w:rPr>
        <w:t>muktzeh</w:t>
      </w:r>
      <w:proofErr w:type="spellEnd"/>
      <w:r>
        <w:t xml:space="preserve"> before further moving the base, if this is feasible (Shulchan </w:t>
      </w:r>
      <w:proofErr w:type="spellStart"/>
      <w:r>
        <w:t>Aruch</w:t>
      </w:r>
      <w:proofErr w:type="spellEnd"/>
      <w:r>
        <w:t xml:space="preserve">, OC 310:8). However, it is not feasible to simply shake out a cabinet drawer. While moving the </w:t>
      </w:r>
      <w:proofErr w:type="spellStart"/>
      <w:r>
        <w:rPr>
          <w:i/>
          <w:iCs/>
        </w:rPr>
        <w:t>muktzeh</w:t>
      </w:r>
      <w:proofErr w:type="spellEnd"/>
      <w:r>
        <w:rPr>
          <w:i/>
          <w:iCs/>
        </w:rPr>
        <w:t xml:space="preserve"> </w:t>
      </w:r>
      <w:r>
        <w:t xml:space="preserve">aluminum foil along with the drawer seems regrettable, no halachic construct forbids keeping it in the drawer when it does not create a </w:t>
      </w:r>
      <w:proofErr w:type="spellStart"/>
      <w:r>
        <w:rPr>
          <w:i/>
          <w:iCs/>
        </w:rPr>
        <w:t>bassis</w:t>
      </w:r>
      <w:proofErr w:type="spellEnd"/>
      <w:r>
        <w:rPr>
          <w:i/>
          <w:iCs/>
        </w:rPr>
        <w:t xml:space="preserve"> </w:t>
      </w:r>
      <w:r>
        <w:t xml:space="preserve">(see </w:t>
      </w:r>
      <w:proofErr w:type="spellStart"/>
      <w:r>
        <w:t>Orchot</w:t>
      </w:r>
      <w:proofErr w:type="spellEnd"/>
      <w:r>
        <w:t xml:space="preserve"> Shabbat 19:(386)).</w:t>
      </w:r>
    </w:p>
    <w:p w14:paraId="22D664BC" w14:textId="77777777" w:rsidR="003955C6" w:rsidRDefault="003955C6" w:rsidP="00A34551">
      <w:pPr>
        <w:bidi w:val="0"/>
        <w:ind w:firstLine="450"/>
      </w:pPr>
      <w:r>
        <w:t xml:space="preserve">Therefore, if the aluminum foil and other fully </w:t>
      </w:r>
      <w:proofErr w:type="spellStart"/>
      <w:r>
        <w:rPr>
          <w:i/>
          <w:iCs/>
        </w:rPr>
        <w:t>muktzeh</w:t>
      </w:r>
      <w:proofErr w:type="spellEnd"/>
      <w:r>
        <w:t xml:space="preserve"> items are a minority in importance, you may pull out the drawer on Shabbat.  </w:t>
      </w: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4" w:history="1">
        <w:r>
          <w:rPr>
            <w:rStyle w:val="Hyperlink"/>
          </w:rPr>
          <w:t>info@eretzhemdah.org</w:t>
        </w:r>
      </w:hyperlink>
      <w:r>
        <w:t xml:space="preserve"> to sign up (free) or for more information on joining the group.</w:t>
      </w: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C014F8" w:rsidP="00C63F78">
      <w:pPr>
        <w:bidi w:val="0"/>
        <w:contextualSpacing/>
        <w:jc w:val="center"/>
        <w:rPr>
          <w:sz w:val="18"/>
          <w:szCs w:val="18"/>
        </w:rPr>
      </w:pPr>
      <w:hyperlink r:id="rId15"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77777777"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2D5C15F4" w14:textId="77777777" w:rsidR="00A34551" w:rsidRDefault="00A34551" w:rsidP="00A34551">
      <w:pPr>
        <w:bidi w:val="0"/>
        <w:jc w:val="center"/>
        <w:rPr>
          <w:b/>
          <w:bCs/>
          <w:i/>
          <w:iCs/>
          <w:color w:val="002060"/>
          <w:sz w:val="28"/>
          <w:szCs w:val="28"/>
        </w:rPr>
      </w:pPr>
      <w:r>
        <w:rPr>
          <w:b/>
          <w:bCs/>
          <w:color w:val="002060"/>
          <w:sz w:val="28"/>
          <w:szCs w:val="28"/>
        </w:rPr>
        <w:t xml:space="preserve">Connection between </w:t>
      </w:r>
      <w:proofErr w:type="spellStart"/>
      <w:r>
        <w:rPr>
          <w:b/>
          <w:bCs/>
          <w:i/>
          <w:iCs/>
          <w:color w:val="002060"/>
          <w:sz w:val="28"/>
          <w:szCs w:val="28"/>
        </w:rPr>
        <w:t>Talmid</w:t>
      </w:r>
      <w:proofErr w:type="spellEnd"/>
      <w:r>
        <w:rPr>
          <w:b/>
          <w:bCs/>
          <w:i/>
          <w:iCs/>
          <w:color w:val="002060"/>
          <w:sz w:val="28"/>
          <w:szCs w:val="28"/>
        </w:rPr>
        <w:t xml:space="preserve"> </w:t>
      </w:r>
      <w:proofErr w:type="spellStart"/>
      <w:r>
        <w:rPr>
          <w:b/>
          <w:bCs/>
          <w:i/>
          <w:iCs/>
          <w:color w:val="002060"/>
          <w:sz w:val="28"/>
          <w:szCs w:val="28"/>
        </w:rPr>
        <w:t>Chacham</w:t>
      </w:r>
      <w:proofErr w:type="spellEnd"/>
      <w:r>
        <w:rPr>
          <w:b/>
          <w:bCs/>
          <w:i/>
          <w:iCs/>
          <w:color w:val="002060"/>
          <w:sz w:val="28"/>
          <w:szCs w:val="28"/>
        </w:rPr>
        <w:t xml:space="preserve"> </w:t>
      </w:r>
      <w:r>
        <w:rPr>
          <w:b/>
          <w:bCs/>
          <w:color w:val="002060"/>
          <w:sz w:val="28"/>
          <w:szCs w:val="28"/>
        </w:rPr>
        <w:t xml:space="preserve">and </w:t>
      </w:r>
      <w:r>
        <w:rPr>
          <w:b/>
          <w:bCs/>
          <w:i/>
          <w:iCs/>
          <w:color w:val="002060"/>
          <w:sz w:val="28"/>
          <w:szCs w:val="28"/>
        </w:rPr>
        <w:t xml:space="preserve">Am </w:t>
      </w:r>
      <w:proofErr w:type="spellStart"/>
      <w:r>
        <w:rPr>
          <w:b/>
          <w:bCs/>
          <w:i/>
          <w:iCs/>
          <w:color w:val="002060"/>
          <w:sz w:val="28"/>
          <w:szCs w:val="28"/>
        </w:rPr>
        <w:t>Ha’aretz</w:t>
      </w:r>
      <w:proofErr w:type="spellEnd"/>
    </w:p>
    <w:p w14:paraId="40C2F23B" w14:textId="77777777" w:rsidR="00A34551" w:rsidRDefault="00A34551" w:rsidP="00A34551">
      <w:pPr>
        <w:bidi w:val="0"/>
        <w:jc w:val="center"/>
        <w:rPr>
          <w:rFonts w:cs="Miriam"/>
          <w:color w:val="002060"/>
          <w:lang w:eastAsia="he-IL"/>
        </w:rPr>
      </w:pPr>
      <w:r>
        <w:rPr>
          <w:color w:val="002060"/>
        </w:rPr>
        <w:t xml:space="preserve">Based on </w:t>
      </w:r>
      <w:proofErr w:type="spellStart"/>
      <w:r>
        <w:rPr>
          <w:color w:val="002060"/>
        </w:rPr>
        <w:t>Siach</w:t>
      </w:r>
      <w:proofErr w:type="spellEnd"/>
      <w:r>
        <w:rPr>
          <w:color w:val="002060"/>
        </w:rPr>
        <w:t xml:space="preserve"> Shaul,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665</w:t>
      </w:r>
    </w:p>
    <w:p w14:paraId="11D38AF1" w14:textId="77777777" w:rsidR="00A34551" w:rsidRDefault="00A34551" w:rsidP="00A34551">
      <w:pPr>
        <w:bidi w:val="0"/>
        <w:ind w:firstLine="360"/>
      </w:pPr>
    </w:p>
    <w:p w14:paraId="7B85FA4B" w14:textId="77777777" w:rsidR="00A34551" w:rsidRDefault="00A34551" w:rsidP="00A34551">
      <w:pPr>
        <w:bidi w:val="0"/>
        <w:ind w:firstLine="360"/>
      </w:pPr>
      <w:r>
        <w:t xml:space="preserve">The </w:t>
      </w:r>
      <w:proofErr w:type="spellStart"/>
      <w:r>
        <w:rPr>
          <w:i/>
          <w:iCs/>
        </w:rPr>
        <w:t>gemara</w:t>
      </w:r>
      <w:proofErr w:type="spellEnd"/>
      <w:r>
        <w:rPr>
          <w:i/>
          <w:iCs/>
        </w:rPr>
        <w:t xml:space="preserve"> </w:t>
      </w:r>
      <w:r>
        <w:t xml:space="preserve">(Sanhedrin 52b) says: “What does a </w:t>
      </w:r>
      <w:proofErr w:type="spellStart"/>
      <w:r>
        <w:rPr>
          <w:i/>
          <w:iCs/>
        </w:rPr>
        <w:t>talmid</w:t>
      </w:r>
      <w:proofErr w:type="spellEnd"/>
      <w:r>
        <w:rPr>
          <w:i/>
          <w:iCs/>
        </w:rPr>
        <w:t xml:space="preserve"> </w:t>
      </w:r>
      <w:proofErr w:type="spellStart"/>
      <w:r>
        <w:rPr>
          <w:i/>
          <w:iCs/>
        </w:rPr>
        <w:t>chacham</w:t>
      </w:r>
      <w:proofErr w:type="spellEnd"/>
      <w:r>
        <w:rPr>
          <w:i/>
          <w:iCs/>
        </w:rPr>
        <w:t xml:space="preserve"> </w:t>
      </w:r>
      <w:r>
        <w:t xml:space="preserve">(Torah scholar) seem like in the eyes of an </w:t>
      </w:r>
      <w:r>
        <w:rPr>
          <w:i/>
          <w:iCs/>
        </w:rPr>
        <w:t xml:space="preserve">am </w:t>
      </w:r>
      <w:proofErr w:type="spellStart"/>
      <w:r>
        <w:rPr>
          <w:i/>
          <w:iCs/>
        </w:rPr>
        <w:t>ha’aretz</w:t>
      </w:r>
      <w:proofErr w:type="spellEnd"/>
      <w:r>
        <w:rPr>
          <w:i/>
          <w:iCs/>
        </w:rPr>
        <w:t xml:space="preserve"> </w:t>
      </w:r>
      <w:r>
        <w:t xml:space="preserve">(ignorant and/or weakly religious person)? Initially, he appears to him as a flask of gold. Once they speak together, he appears to be like a flask of silver. Once the </w:t>
      </w:r>
      <w:proofErr w:type="spellStart"/>
      <w:r>
        <w:rPr>
          <w:i/>
          <w:iCs/>
        </w:rPr>
        <w:t>talmid</w:t>
      </w:r>
      <w:proofErr w:type="spellEnd"/>
      <w:r>
        <w:rPr>
          <w:i/>
          <w:iCs/>
        </w:rPr>
        <w:t xml:space="preserve"> </w:t>
      </w:r>
      <w:proofErr w:type="spellStart"/>
      <w:r>
        <w:rPr>
          <w:i/>
          <w:iCs/>
        </w:rPr>
        <w:t>chacham</w:t>
      </w:r>
      <w:proofErr w:type="spellEnd"/>
      <w:r>
        <w:rPr>
          <w:i/>
          <w:iCs/>
        </w:rPr>
        <w:t xml:space="preserve"> </w:t>
      </w:r>
      <w:r>
        <w:t>benefits monetarily from him, he appears to be like a flask of pottery, which, once it breaks, can no longer be used.”</w:t>
      </w:r>
    </w:p>
    <w:p w14:paraId="5DDFF8AB" w14:textId="77777777" w:rsidR="00A34551" w:rsidRDefault="00A34551" w:rsidP="00A34551">
      <w:pPr>
        <w:bidi w:val="0"/>
        <w:ind w:firstLine="360"/>
      </w:pPr>
      <w:r>
        <w:t xml:space="preserve">There are few and weak connections and mutual relationships that can develop between a </w:t>
      </w:r>
      <w:proofErr w:type="spellStart"/>
      <w:r>
        <w:rPr>
          <w:i/>
          <w:iCs/>
        </w:rPr>
        <w:t>talmid</w:t>
      </w:r>
      <w:proofErr w:type="spellEnd"/>
      <w:r>
        <w:rPr>
          <w:i/>
          <w:iCs/>
        </w:rPr>
        <w:t xml:space="preserve"> </w:t>
      </w:r>
      <w:proofErr w:type="spellStart"/>
      <w:r>
        <w:rPr>
          <w:i/>
          <w:iCs/>
        </w:rPr>
        <w:t>chacham</w:t>
      </w:r>
      <w:proofErr w:type="spellEnd"/>
      <w:r>
        <w:rPr>
          <w:i/>
          <w:iCs/>
        </w:rPr>
        <w:t xml:space="preserve"> </w:t>
      </w:r>
      <w:r>
        <w:t xml:space="preserve">and an </w:t>
      </w:r>
      <w:r>
        <w:rPr>
          <w:i/>
          <w:iCs/>
        </w:rPr>
        <w:t xml:space="preserve">am </w:t>
      </w:r>
      <w:proofErr w:type="spellStart"/>
      <w:r>
        <w:rPr>
          <w:i/>
          <w:iCs/>
        </w:rPr>
        <w:t>ha’aretz</w:t>
      </w:r>
      <w:proofErr w:type="spellEnd"/>
      <w:r>
        <w:t xml:space="preserve">. Their “meeting area” is small because of the lack of overlap in their spiritual lives, which is the main part of a person’s life. They are two distinct types of people, with disparate spiritual approaches and aspirations. Therefore, one will not understand the other or be sensitive to questions that agitate the other’s heart. </w:t>
      </w:r>
    </w:p>
    <w:p w14:paraId="7453A7D6" w14:textId="77777777" w:rsidR="00A34551" w:rsidRDefault="00A34551" w:rsidP="00A34551">
      <w:pPr>
        <w:bidi w:val="0"/>
        <w:ind w:firstLine="360"/>
      </w:pPr>
      <w:r>
        <w:t xml:space="preserve">The </w:t>
      </w:r>
      <w:r>
        <w:rPr>
          <w:i/>
          <w:iCs/>
        </w:rPr>
        <w:t xml:space="preserve">am </w:t>
      </w:r>
      <w:proofErr w:type="spellStart"/>
      <w:r>
        <w:rPr>
          <w:i/>
          <w:iCs/>
        </w:rPr>
        <w:t>ha’aretz</w:t>
      </w:r>
      <w:proofErr w:type="spellEnd"/>
      <w:r>
        <w:t xml:space="preserve"> recognizes that the </w:t>
      </w:r>
      <w:proofErr w:type="spellStart"/>
      <w:r>
        <w:rPr>
          <w:i/>
          <w:iCs/>
        </w:rPr>
        <w:t>talmid</w:t>
      </w:r>
      <w:proofErr w:type="spellEnd"/>
      <w:r>
        <w:rPr>
          <w:i/>
          <w:iCs/>
        </w:rPr>
        <w:t xml:space="preserve"> </w:t>
      </w:r>
      <w:proofErr w:type="spellStart"/>
      <w:r>
        <w:rPr>
          <w:i/>
          <w:iCs/>
        </w:rPr>
        <w:t>chacham</w:t>
      </w:r>
      <w:proofErr w:type="spellEnd"/>
      <w:r>
        <w:rPr>
          <w:i/>
          <w:iCs/>
        </w:rPr>
        <w:t xml:space="preserve"> </w:t>
      </w:r>
      <w:r>
        <w:t xml:space="preserve">is different from him. He feels the </w:t>
      </w:r>
      <w:proofErr w:type="spellStart"/>
      <w:r>
        <w:rPr>
          <w:i/>
          <w:iCs/>
        </w:rPr>
        <w:t>talmid</w:t>
      </w:r>
      <w:proofErr w:type="spellEnd"/>
      <w:r>
        <w:rPr>
          <w:i/>
          <w:iCs/>
        </w:rPr>
        <w:t xml:space="preserve"> </w:t>
      </w:r>
      <w:proofErr w:type="spellStart"/>
      <w:r>
        <w:rPr>
          <w:i/>
          <w:iCs/>
        </w:rPr>
        <w:t>chacham</w:t>
      </w:r>
      <w:r>
        <w:t>’s</w:t>
      </w:r>
      <w:proofErr w:type="spellEnd"/>
      <w:r>
        <w:t xml:space="preserve"> superiority and the grandeur that surrounds his spiritual greatness and is attacked by a feeling</w:t>
      </w:r>
      <w:r>
        <w:rPr>
          <w:i/>
          <w:iCs/>
        </w:rPr>
        <w:t xml:space="preserve"> </w:t>
      </w:r>
      <w:r>
        <w:t xml:space="preserve">of deficiency in his surroundings. However, when external circumstances put the two into ongoing connections, and he starts to view all of the specific elements of the </w:t>
      </w:r>
      <w:proofErr w:type="spellStart"/>
      <w:r>
        <w:rPr>
          <w:i/>
          <w:iCs/>
        </w:rPr>
        <w:t>talmid</w:t>
      </w:r>
      <w:proofErr w:type="spellEnd"/>
      <w:r>
        <w:rPr>
          <w:i/>
          <w:iCs/>
        </w:rPr>
        <w:t xml:space="preserve"> </w:t>
      </w:r>
      <w:proofErr w:type="spellStart"/>
      <w:r>
        <w:rPr>
          <w:i/>
          <w:iCs/>
        </w:rPr>
        <w:t>chacham</w:t>
      </w:r>
      <w:r>
        <w:t>’s</w:t>
      </w:r>
      <w:proofErr w:type="spellEnd"/>
      <w:r>
        <w:t xml:space="preserve"> life as an individual, the </w:t>
      </w:r>
      <w:r>
        <w:rPr>
          <w:i/>
          <w:iCs/>
        </w:rPr>
        <w:t xml:space="preserve">am </w:t>
      </w:r>
      <w:proofErr w:type="spellStart"/>
      <w:r>
        <w:rPr>
          <w:i/>
          <w:iCs/>
        </w:rPr>
        <w:t>ha’aretz</w:t>
      </w:r>
      <w:proofErr w:type="spellEnd"/>
      <w:r>
        <w:t xml:space="preserve"> loses his perspective. Since the </w:t>
      </w:r>
      <w:r>
        <w:rPr>
          <w:i/>
          <w:iCs/>
        </w:rPr>
        <w:t xml:space="preserve">am </w:t>
      </w:r>
      <w:proofErr w:type="spellStart"/>
      <w:r>
        <w:rPr>
          <w:i/>
          <w:iCs/>
        </w:rPr>
        <w:t>ha’aretz</w:t>
      </w:r>
      <w:proofErr w:type="spellEnd"/>
      <w:r>
        <w:rPr>
          <w:i/>
          <w:iCs/>
        </w:rPr>
        <w:t xml:space="preserve"> </w:t>
      </w:r>
      <w:r>
        <w:t xml:space="preserve">appreciates natural phenomena that everyone who lives under the sun experiences, he becomes very aware of the mundane elements of everyone’s lives, including great people. </w:t>
      </w:r>
    </w:p>
    <w:p w14:paraId="485AB647" w14:textId="77777777" w:rsidR="00A34551" w:rsidRDefault="00A34551" w:rsidP="00A34551">
      <w:pPr>
        <w:bidi w:val="0"/>
        <w:ind w:firstLine="360"/>
      </w:pPr>
      <w:r>
        <w:t xml:space="preserve">As this happens, the </w:t>
      </w:r>
      <w:r>
        <w:rPr>
          <w:i/>
          <w:iCs/>
        </w:rPr>
        <w:t xml:space="preserve">am </w:t>
      </w:r>
      <w:proofErr w:type="spellStart"/>
      <w:r>
        <w:rPr>
          <w:i/>
          <w:iCs/>
        </w:rPr>
        <w:t>ha’aretz</w:t>
      </w:r>
      <w:proofErr w:type="spellEnd"/>
      <w:r>
        <w:rPr>
          <w:i/>
          <w:iCs/>
        </w:rPr>
        <w:t xml:space="preserve"> </w:t>
      </w:r>
      <w:r>
        <w:t xml:space="preserve">loses sight of the special characteristics of people of lofty spirit because he lacks the necessary spiritual connection and sensitivity. The elements of the </w:t>
      </w:r>
      <w:proofErr w:type="spellStart"/>
      <w:r>
        <w:rPr>
          <w:i/>
          <w:iCs/>
        </w:rPr>
        <w:t>talmid</w:t>
      </w:r>
      <w:proofErr w:type="spellEnd"/>
      <w:r>
        <w:rPr>
          <w:i/>
          <w:iCs/>
        </w:rPr>
        <w:t xml:space="preserve"> </w:t>
      </w:r>
      <w:proofErr w:type="spellStart"/>
      <w:r>
        <w:rPr>
          <w:i/>
          <w:iCs/>
        </w:rPr>
        <w:t>chacham</w:t>
      </w:r>
      <w:r>
        <w:t>’s</w:t>
      </w:r>
      <w:proofErr w:type="spellEnd"/>
      <w:r>
        <w:t xml:space="preserve"> persona that he grasps are those that are shared by all. The </w:t>
      </w:r>
      <w:r>
        <w:rPr>
          <w:i/>
          <w:iCs/>
        </w:rPr>
        <w:t xml:space="preserve">am </w:t>
      </w:r>
      <w:proofErr w:type="spellStart"/>
      <w:r>
        <w:rPr>
          <w:i/>
          <w:iCs/>
        </w:rPr>
        <w:t>ha’aretz</w:t>
      </w:r>
      <w:proofErr w:type="spellEnd"/>
      <w:r>
        <w:rPr>
          <w:i/>
          <w:iCs/>
        </w:rPr>
        <w:t xml:space="preserve"> </w:t>
      </w:r>
      <w:r>
        <w:t xml:space="preserve">then concludes that only from a distance does the </w:t>
      </w:r>
      <w:proofErr w:type="spellStart"/>
      <w:r>
        <w:rPr>
          <w:i/>
          <w:iCs/>
        </w:rPr>
        <w:t>talmid</w:t>
      </w:r>
      <w:proofErr w:type="spellEnd"/>
      <w:r>
        <w:rPr>
          <w:i/>
          <w:iCs/>
        </w:rPr>
        <w:t xml:space="preserve"> </w:t>
      </w:r>
      <w:proofErr w:type="spellStart"/>
      <w:r>
        <w:rPr>
          <w:i/>
          <w:iCs/>
        </w:rPr>
        <w:t>chacham</w:t>
      </w:r>
      <w:proofErr w:type="spellEnd"/>
      <w:r>
        <w:t xml:space="preserve"> seems like a giant, and that he was in awe of him by mistake, as the great person is really like everyone else. If along with this psychological process, the </w:t>
      </w:r>
      <w:r>
        <w:rPr>
          <w:i/>
          <w:iCs/>
        </w:rPr>
        <w:t xml:space="preserve">am </w:t>
      </w:r>
      <w:proofErr w:type="spellStart"/>
      <w:r>
        <w:rPr>
          <w:i/>
          <w:iCs/>
        </w:rPr>
        <w:t>ha’artez</w:t>
      </w:r>
      <w:proofErr w:type="spellEnd"/>
      <w:r>
        <w:t xml:space="preserve"> also gives benefit to the </w:t>
      </w:r>
      <w:proofErr w:type="spellStart"/>
      <w:r>
        <w:rPr>
          <w:i/>
          <w:iCs/>
        </w:rPr>
        <w:t>talmid</w:t>
      </w:r>
      <w:proofErr w:type="spellEnd"/>
      <w:r>
        <w:rPr>
          <w:i/>
          <w:iCs/>
        </w:rPr>
        <w:t xml:space="preserve"> </w:t>
      </w:r>
      <w:proofErr w:type="spellStart"/>
      <w:r>
        <w:rPr>
          <w:i/>
          <w:iCs/>
        </w:rPr>
        <w:t>chacham</w:t>
      </w:r>
      <w:proofErr w:type="spellEnd"/>
      <w:r>
        <w:rPr>
          <w:i/>
          <w:iCs/>
        </w:rPr>
        <w:t xml:space="preserve"> </w:t>
      </w:r>
      <w:r>
        <w:t xml:space="preserve">from his resources, he will see his own “greatness,” and the </w:t>
      </w:r>
      <w:proofErr w:type="spellStart"/>
      <w:r>
        <w:rPr>
          <w:i/>
          <w:iCs/>
        </w:rPr>
        <w:t>talmid</w:t>
      </w:r>
      <w:proofErr w:type="spellEnd"/>
      <w:r>
        <w:rPr>
          <w:i/>
          <w:iCs/>
        </w:rPr>
        <w:t xml:space="preserve"> </w:t>
      </w:r>
      <w:proofErr w:type="spellStart"/>
      <w:r>
        <w:rPr>
          <w:i/>
          <w:iCs/>
        </w:rPr>
        <w:t>chacham</w:t>
      </w:r>
      <w:proofErr w:type="spellEnd"/>
      <w:r>
        <w:t xml:space="preserve"> will be downgraded to the level of a “flask of pottery,” which is useless after being broken. </w:t>
      </w:r>
    </w:p>
    <w:p w14:paraId="5B0F8D3F" w14:textId="77777777" w:rsidR="00A34551" w:rsidRDefault="00A34551" w:rsidP="00A34551">
      <w:pPr>
        <w:bidi w:val="0"/>
        <w:ind w:firstLine="360"/>
      </w:pPr>
      <w:r>
        <w:t xml:space="preserve">The </w:t>
      </w:r>
      <w:r>
        <w:rPr>
          <w:i/>
          <w:iCs/>
        </w:rPr>
        <w:t xml:space="preserve">am </w:t>
      </w:r>
      <w:proofErr w:type="spellStart"/>
      <w:r>
        <w:rPr>
          <w:i/>
          <w:iCs/>
        </w:rPr>
        <w:t>ha’aretz</w:t>
      </w:r>
      <w:proofErr w:type="spellEnd"/>
      <w:r>
        <w:t xml:space="preserve"> does not realize that it his blindness that prevents him from seeing the greatness of the man in his midst. Actually, the greater a person is, the more he develops the “strings” that tie him to every person with a spirit within him. The truly great person draws from the storehouse of his counterpart’s spirit, including the “wellsprings” of one who is unaware he possesses them. About such a person, the Rabbis said, “Who is wise? He who learns from every person” (Avot 4:1). </w:t>
      </w:r>
    </w:p>
    <w:p w14:paraId="7EAA805A" w14:textId="77777777" w:rsidR="00A34551" w:rsidRDefault="00A34551" w:rsidP="00A34551">
      <w:pPr>
        <w:bidi w:val="0"/>
        <w:ind w:firstLine="360"/>
      </w:pPr>
      <w:r>
        <w:t xml:space="preserve">When we refer to a </w:t>
      </w:r>
      <w:proofErr w:type="spellStart"/>
      <w:r>
        <w:rPr>
          <w:i/>
          <w:iCs/>
        </w:rPr>
        <w:t>talmid</w:t>
      </w:r>
      <w:proofErr w:type="spellEnd"/>
      <w:r>
        <w:rPr>
          <w:i/>
          <w:iCs/>
        </w:rPr>
        <w:t xml:space="preserve"> </w:t>
      </w:r>
      <w:proofErr w:type="spellStart"/>
      <w:r>
        <w:rPr>
          <w:i/>
          <w:iCs/>
        </w:rPr>
        <w:t>chacham</w:t>
      </w:r>
      <w:proofErr w:type="spellEnd"/>
      <w:r>
        <w:t xml:space="preserve">, we mean the </w:t>
      </w:r>
      <w:proofErr w:type="spellStart"/>
      <w:r>
        <w:rPr>
          <w:i/>
          <w:iCs/>
        </w:rPr>
        <w:t>talmid</w:t>
      </w:r>
      <w:proofErr w:type="spellEnd"/>
      <w:r>
        <w:t xml:space="preserve"> (student) of a </w:t>
      </w:r>
      <w:proofErr w:type="spellStart"/>
      <w:r>
        <w:rPr>
          <w:i/>
          <w:iCs/>
        </w:rPr>
        <w:t>chacham</w:t>
      </w:r>
      <w:proofErr w:type="spellEnd"/>
      <w:r>
        <w:t xml:space="preserve"> (scholar); the </w:t>
      </w:r>
      <w:proofErr w:type="spellStart"/>
      <w:r>
        <w:rPr>
          <w:i/>
          <w:iCs/>
        </w:rPr>
        <w:t>talmid</w:t>
      </w:r>
      <w:proofErr w:type="spellEnd"/>
      <w:r>
        <w:rPr>
          <w:i/>
          <w:iCs/>
        </w:rPr>
        <w:t xml:space="preserve"> </w:t>
      </w:r>
      <w:proofErr w:type="spellStart"/>
      <w:r>
        <w:rPr>
          <w:i/>
          <w:iCs/>
        </w:rPr>
        <w:t>chacham</w:t>
      </w:r>
      <w:r>
        <w:t>’s</w:t>
      </w:r>
      <w:proofErr w:type="spellEnd"/>
      <w:r>
        <w:t xml:space="preserve"> teacher is the true scholar. Who is the teacher of the </w:t>
      </w:r>
      <w:proofErr w:type="spellStart"/>
      <w:r>
        <w:rPr>
          <w:i/>
          <w:iCs/>
        </w:rPr>
        <w:t>chacham</w:t>
      </w:r>
      <w:proofErr w:type="spellEnd"/>
      <w:r>
        <w:t>? Everyone! Just like a student is intellectually sustained by his teacher, the teacher draws life inspiration from his students, as the Rabbis said: “… and [I learned] more from my students than from anyone else” (</w:t>
      </w:r>
      <w:proofErr w:type="spellStart"/>
      <w:r>
        <w:t>Ta’anit</w:t>
      </w:r>
      <w:proofErr w:type="spellEnd"/>
      <w:r>
        <w:t xml:space="preserve"> 7). </w:t>
      </w:r>
    </w:p>
    <w:p w14:paraId="407088AA" w14:textId="2AF3C234" w:rsidR="00FD6AA2" w:rsidRDefault="00A34551" w:rsidP="00A34551">
      <w:pPr>
        <w:bidi w:val="0"/>
        <w:spacing w:line="276" w:lineRule="auto"/>
        <w:ind w:firstLine="360"/>
      </w:pPr>
      <w:r>
        <w:t>A person’s greatness enables him to draw more “life-giving water from an abandoned, muddy wellspring.” This is the secret tool of wisdom.</w:t>
      </w:r>
    </w:p>
    <w:p w14:paraId="646DFFC8" w14:textId="6AFA9304" w:rsidR="00A34551" w:rsidRDefault="00A34551" w:rsidP="00A34551">
      <w:pPr>
        <w:bidi w:val="0"/>
        <w:spacing w:line="276" w:lineRule="auto"/>
        <w:ind w:firstLine="360"/>
      </w:pPr>
    </w:p>
    <w:p w14:paraId="77FD2EF8" w14:textId="46FFCBC4" w:rsidR="00A34551" w:rsidRDefault="00A34551" w:rsidP="00A34551">
      <w:pPr>
        <w:bidi w:val="0"/>
        <w:spacing w:line="276" w:lineRule="auto"/>
        <w:ind w:firstLine="360"/>
      </w:pPr>
    </w:p>
    <w:p w14:paraId="51D4F691" w14:textId="1B9081FC" w:rsidR="00827FEA" w:rsidRDefault="00827FEA" w:rsidP="00827FEA">
      <w:pPr>
        <w:bidi w:val="0"/>
        <w:spacing w:line="276" w:lineRule="auto"/>
        <w:ind w:firstLine="360"/>
      </w:pPr>
    </w:p>
    <w:p w14:paraId="11D76FAD" w14:textId="77777777" w:rsidR="00827FEA" w:rsidRDefault="00827FEA" w:rsidP="00827FEA">
      <w:pPr>
        <w:bidi w:val="0"/>
        <w:spacing w:line="276" w:lineRule="auto"/>
        <w:ind w:firstLine="360"/>
      </w:pPr>
    </w:p>
    <w:p w14:paraId="1F4A234C" w14:textId="77777777" w:rsidR="00827FEA" w:rsidRDefault="00827FEA" w:rsidP="00827FEA">
      <w:pPr>
        <w:bidi w:val="0"/>
        <w:spacing w:line="276" w:lineRule="auto"/>
        <w:ind w:firstLine="360"/>
      </w:pPr>
    </w:p>
    <w:p w14:paraId="4E10058E" w14:textId="03BEEEE2" w:rsidR="00997CA0" w:rsidRDefault="00997CA0" w:rsidP="00997CA0">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r>
              <w:rPr>
                <w:rFonts w:ascii="Times New Roman" w:hAnsi="Times New Roman" w:cs="Times New Roman"/>
                <w:b/>
                <w:bCs/>
                <w:color w:val="1F4E79"/>
              </w:rPr>
              <w:t xml:space="preserve">Itamar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Shaul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48DDE677" w:rsidR="00D9393A" w:rsidRDefault="00827FEA" w:rsidP="00D9393A">
      <w:pPr>
        <w:bidi w:val="0"/>
        <w:ind w:firstLine="360"/>
        <w:rPr>
          <w:rtl/>
        </w:rPr>
      </w:pPr>
      <w:r>
        <w:rPr>
          <w:noProof/>
        </w:rPr>
        <w:drawing>
          <wp:anchor distT="0" distB="0" distL="114300" distR="114300" simplePos="0" relativeHeight="251667968" behindDoc="0" locked="1" layoutInCell="1" allowOverlap="1" wp14:anchorId="4AE033D3" wp14:editId="0BAB1088">
            <wp:simplePos x="0" y="0"/>
            <wp:positionH relativeFrom="margin">
              <wp:posOffset>1855470</wp:posOffset>
            </wp:positionH>
            <wp:positionV relativeFrom="page">
              <wp:posOffset>9879330</wp:posOffset>
            </wp:positionV>
            <wp:extent cx="3358515" cy="444500"/>
            <wp:effectExtent l="0" t="0" r="0" b="0"/>
            <wp:wrapNone/>
            <wp:docPr id="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58515" cy="44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A4ABB" w14:textId="19997E7F" w:rsidR="003E32F5" w:rsidRDefault="003E32F5" w:rsidP="003E32F5">
      <w:pPr>
        <w:bidi w:val="0"/>
        <w:ind w:firstLine="360"/>
      </w:pPr>
    </w:p>
    <w:p w14:paraId="4D9344BA" w14:textId="32138DC0" w:rsidR="00CB5AD2" w:rsidRDefault="00CB5AD2" w:rsidP="00997CA0">
      <w:pPr>
        <w:bidi w:val="0"/>
        <w:ind w:firstLine="360"/>
        <w:rPr>
          <w:i/>
          <w:iCs/>
          <w:color w:val="D85640"/>
        </w:rPr>
      </w:pPr>
    </w:p>
    <w:p w14:paraId="4727F921" w14:textId="298CE1A6" w:rsidR="001452AA" w:rsidRPr="001452AA" w:rsidRDefault="00A34551" w:rsidP="00C014F8">
      <w:pPr>
        <w:pStyle w:val="2"/>
        <w:bidi w:val="0"/>
        <w:spacing w:before="0" w:after="0"/>
        <w:jc w:val="both"/>
        <w:rPr>
          <w:i w:val="0"/>
          <w:iCs w:val="0"/>
          <w:sz w:val="20"/>
        </w:rPr>
      </w:pPr>
      <w:r>
        <w:rPr>
          <w:noProof/>
        </w:rPr>
        <w:lastRenderedPageBreak/>
        <w:drawing>
          <wp:anchor distT="0" distB="0" distL="114300" distR="114300" simplePos="0" relativeHeight="251657728" behindDoc="1" locked="0" layoutInCell="1" allowOverlap="1" wp14:anchorId="5562C0F0" wp14:editId="4DEDF00D">
            <wp:simplePos x="0" y="0"/>
            <wp:positionH relativeFrom="margin">
              <wp:posOffset>56515</wp:posOffset>
            </wp:positionH>
            <wp:positionV relativeFrom="paragraph">
              <wp:posOffset>-651510</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52AA" w:rsidRPr="001452AA">
        <w:rPr>
          <w:i w:val="0"/>
          <w:iCs w:val="0"/>
          <w:color w:val="D85640"/>
        </w:rPr>
        <w:t xml:space="preserve">A Seller with Questionable Rights to the Property – part </w:t>
      </w:r>
      <w:r>
        <w:rPr>
          <w:i w:val="0"/>
          <w:iCs w:val="0"/>
          <w:color w:val="D85640"/>
        </w:rPr>
        <w:t>I</w:t>
      </w:r>
      <w:r w:rsidR="001452AA" w:rsidRPr="001452AA">
        <w:rPr>
          <w:i w:val="0"/>
          <w:iCs w:val="0"/>
          <w:color w:val="D85640"/>
        </w:rPr>
        <w:t>II</w:t>
      </w:r>
      <w:r w:rsidR="001452AA" w:rsidRPr="001452AA">
        <w:rPr>
          <w:i w:val="0"/>
          <w:iCs w:val="0"/>
          <w:sz w:val="20"/>
        </w:rPr>
        <w:t xml:space="preserve"> </w:t>
      </w:r>
    </w:p>
    <w:p w14:paraId="638D3583" w14:textId="77777777" w:rsidR="001452AA" w:rsidRPr="001452AA" w:rsidRDefault="001452AA" w:rsidP="00C014F8">
      <w:pPr>
        <w:pStyle w:val="2"/>
        <w:bidi w:val="0"/>
        <w:spacing w:before="0" w:after="0"/>
        <w:jc w:val="both"/>
        <w:rPr>
          <w:b w:val="0"/>
          <w:bCs w:val="0"/>
          <w:i w:val="0"/>
          <w:iCs w:val="0"/>
          <w:sz w:val="22"/>
          <w:szCs w:val="18"/>
        </w:rPr>
      </w:pPr>
      <w:r w:rsidRPr="001452AA">
        <w:rPr>
          <w:b w:val="0"/>
          <w:bCs w:val="0"/>
          <w:i w:val="0"/>
          <w:iCs w:val="0"/>
          <w:sz w:val="20"/>
        </w:rPr>
        <w:t>(</w:t>
      </w:r>
      <w:proofErr w:type="gramStart"/>
      <w:r w:rsidRPr="001452AA">
        <w:rPr>
          <w:b w:val="0"/>
          <w:bCs w:val="0"/>
          <w:i w:val="0"/>
          <w:iCs w:val="0"/>
          <w:sz w:val="20"/>
        </w:rPr>
        <w:t>based</w:t>
      </w:r>
      <w:proofErr w:type="gramEnd"/>
      <w:r w:rsidRPr="001452AA">
        <w:rPr>
          <w:b w:val="0"/>
          <w:bCs w:val="0"/>
          <w:i w:val="0"/>
          <w:iCs w:val="0"/>
          <w:sz w:val="20"/>
        </w:rPr>
        <w:t xml:space="preserve"> on ruling 84062 of the Eretz Hemdah-</w:t>
      </w:r>
      <w:proofErr w:type="spellStart"/>
      <w:r w:rsidRPr="001452AA">
        <w:rPr>
          <w:b w:val="0"/>
          <w:bCs w:val="0"/>
          <w:i w:val="0"/>
          <w:iCs w:val="0"/>
          <w:sz w:val="20"/>
        </w:rPr>
        <w:t>Gazit</w:t>
      </w:r>
      <w:proofErr w:type="spellEnd"/>
      <w:r w:rsidRPr="001452AA">
        <w:rPr>
          <w:b w:val="0"/>
          <w:bCs w:val="0"/>
          <w:i w:val="0"/>
          <w:iCs w:val="0"/>
          <w:sz w:val="20"/>
        </w:rPr>
        <w:t xml:space="preserve"> Rabbinical Courts)</w:t>
      </w:r>
    </w:p>
    <w:p w14:paraId="3B4ACA37" w14:textId="77777777" w:rsidR="001452AA" w:rsidRPr="006C633B" w:rsidRDefault="001452AA" w:rsidP="00C014F8">
      <w:pPr>
        <w:jc w:val="right"/>
        <w:rPr>
          <w:sz w:val="24"/>
        </w:rPr>
      </w:pPr>
    </w:p>
    <w:p w14:paraId="1E17BBDE" w14:textId="77777777" w:rsidR="00A34551" w:rsidRDefault="00A34551" w:rsidP="00C014F8">
      <w:pPr>
        <w:bidi w:val="0"/>
      </w:pPr>
      <w:r>
        <w:rPr>
          <w:b/>
          <w:bCs/>
          <w:color w:val="D85640"/>
          <w:sz w:val="24"/>
          <w:u w:val="single"/>
        </w:rPr>
        <w:t>Case</w:t>
      </w:r>
      <w:r>
        <w:rPr>
          <w:b/>
          <w:bCs/>
          <w:color w:val="D85640"/>
          <w:sz w:val="24"/>
        </w:rPr>
        <w:t>:</w:t>
      </w:r>
      <w:r>
        <w:t xml:space="preserve"> Multiple plaintiffs (=</w:t>
      </w:r>
      <w:r>
        <w:rPr>
          <w:i/>
          <w:iCs/>
        </w:rPr>
        <w:t>pl</w:t>
      </w:r>
      <w:r>
        <w:t>), each paying different amounts, bought land from a company (=</w:t>
      </w:r>
      <w:r>
        <w:rPr>
          <w:i/>
          <w:iCs/>
        </w:rPr>
        <w:t>def1</w:t>
      </w:r>
      <w:r>
        <w:t xml:space="preserve">), owned by </w:t>
      </w:r>
      <w:r>
        <w:rPr>
          <w:i/>
          <w:iCs/>
        </w:rPr>
        <w:t>def2</w:t>
      </w:r>
      <w:r>
        <w:t>,</w:t>
      </w:r>
      <w:r>
        <w:rPr>
          <w:i/>
          <w:iCs/>
        </w:rPr>
        <w:t xml:space="preserve"> </w:t>
      </w:r>
      <w:r>
        <w:t xml:space="preserve">dealing with land sold by Arabs, in the periphery of a </w:t>
      </w:r>
      <w:proofErr w:type="spellStart"/>
      <w:r>
        <w:rPr>
          <w:i/>
          <w:iCs/>
        </w:rPr>
        <w:t>yishuv</w:t>
      </w:r>
      <w:proofErr w:type="spellEnd"/>
      <w:r>
        <w:t xml:space="preserve">. Years went by without the deal being completed, so </w:t>
      </w:r>
      <w:r>
        <w:rPr>
          <w:i/>
          <w:iCs/>
        </w:rPr>
        <w:t>pl</w:t>
      </w:r>
      <w:r>
        <w:t xml:space="preserve"> demanded their payment back according to par 5.6 of their </w:t>
      </w:r>
      <w:proofErr w:type="gramStart"/>
      <w:r>
        <w:t>contract</w:t>
      </w:r>
      <w:proofErr w:type="gramEnd"/>
      <w:r>
        <w:t xml:space="preserve">. Although a different document states that </w:t>
      </w:r>
      <w:r>
        <w:rPr>
          <w:i/>
          <w:iCs/>
        </w:rPr>
        <w:t>pl</w:t>
      </w:r>
      <w:r>
        <w:t xml:space="preserve"> cannot get their money back, it was never signed, and the signed contract says that it supersedes other agreements. </w:t>
      </w:r>
      <w:r>
        <w:rPr>
          <w:i/>
          <w:iCs/>
        </w:rPr>
        <w:t xml:space="preserve">Pl </w:t>
      </w:r>
      <w:r>
        <w:t xml:space="preserve">claims that </w:t>
      </w:r>
      <w:r>
        <w:rPr>
          <w:i/>
          <w:iCs/>
        </w:rPr>
        <w:t>def</w:t>
      </w:r>
      <w:r>
        <w:t xml:space="preserve"> violated their agreement by not advancing it over years. More fundamentally, the sale should be void because </w:t>
      </w:r>
      <w:r>
        <w:rPr>
          <w:i/>
          <w:iCs/>
        </w:rPr>
        <w:t xml:space="preserve">pl </w:t>
      </w:r>
      <w:r>
        <w:t xml:space="preserve">was misinformed, as </w:t>
      </w:r>
      <w:r>
        <w:rPr>
          <w:i/>
          <w:iCs/>
        </w:rPr>
        <w:t>def</w:t>
      </w:r>
      <w:r>
        <w:t xml:space="preserve"> has not provided any proof they own the property they purported to sell. [</w:t>
      </w:r>
      <w:r>
        <w:rPr>
          <w:i/>
          <w:iCs/>
        </w:rPr>
        <w:t>We saw that pl was able to nullify the sale because of misrepresentation.</w:t>
      </w:r>
      <w:r>
        <w:t xml:space="preserve">] </w:t>
      </w:r>
      <w:r>
        <w:rPr>
          <w:i/>
          <w:iCs/>
        </w:rPr>
        <w:t xml:space="preserve">Pl </w:t>
      </w:r>
      <w:r>
        <w:t xml:space="preserve">claims that the money he invested should be returned, linked to inflation and with interest because this is standard business procedure and because occupying </w:t>
      </w:r>
      <w:r>
        <w:rPr>
          <w:i/>
          <w:iCs/>
        </w:rPr>
        <w:t>pl</w:t>
      </w:r>
      <w:r>
        <w:t xml:space="preserve">’s money with a fraudulent sale damaged </w:t>
      </w:r>
      <w:r>
        <w:rPr>
          <w:i/>
          <w:iCs/>
        </w:rPr>
        <w:t>pl</w:t>
      </w:r>
      <w:r>
        <w:t xml:space="preserve">’s ability to earn money during this time. </w:t>
      </w:r>
    </w:p>
    <w:p w14:paraId="0F8EE5C7" w14:textId="77777777" w:rsidR="00A34551" w:rsidRDefault="00A34551" w:rsidP="00C014F8">
      <w:pPr>
        <w:bidi w:val="0"/>
        <w:rPr>
          <w:sz w:val="22"/>
          <w:szCs w:val="22"/>
        </w:rPr>
      </w:pPr>
      <w:r>
        <w:t xml:space="preserve">  </w:t>
      </w:r>
    </w:p>
    <w:p w14:paraId="7811CA9F" w14:textId="77777777" w:rsidR="00A34551" w:rsidRDefault="00A34551" w:rsidP="00C014F8">
      <w:pPr>
        <w:bidi w:val="0"/>
      </w:pPr>
      <w:r>
        <w:rPr>
          <w:b/>
          <w:bCs/>
          <w:color w:val="D85640"/>
          <w:sz w:val="24"/>
          <w:szCs w:val="24"/>
          <w:u w:val="single"/>
        </w:rPr>
        <w:t>Ruling</w:t>
      </w:r>
      <w:r>
        <w:rPr>
          <w:b/>
          <w:bCs/>
          <w:color w:val="D85640"/>
          <w:sz w:val="24"/>
          <w:szCs w:val="24"/>
        </w:rPr>
        <w:t>:</w:t>
      </w:r>
      <w:r>
        <w:t xml:space="preserve"> The claim that return of the money with interest should be considered standard cannot be applied here because the contract discusses cases of return of money and says that it will be without increase. Although </w:t>
      </w:r>
      <w:proofErr w:type="spellStart"/>
      <w:r>
        <w:rPr>
          <w:i/>
          <w:iCs/>
        </w:rPr>
        <w:t>beit</w:t>
      </w:r>
      <w:proofErr w:type="spellEnd"/>
      <w:r>
        <w:rPr>
          <w:i/>
          <w:iCs/>
        </w:rPr>
        <w:t xml:space="preserve"> din</w:t>
      </w:r>
      <w:r>
        <w:t xml:space="preserve"> accepted </w:t>
      </w:r>
      <w:r>
        <w:rPr>
          <w:i/>
          <w:iCs/>
        </w:rPr>
        <w:t>pl</w:t>
      </w:r>
      <w:r>
        <w:t xml:space="preserve">’s claim that the contract is to be voided, we still see that the sides did not work with an assumption that there would be more than a nominal return. Even linking to the inflation rate is not a standard assumption in an era of modest inflation, where the money’s basic value remains intact. </w:t>
      </w:r>
    </w:p>
    <w:p w14:paraId="5D9732F7" w14:textId="77777777" w:rsidR="00A34551" w:rsidRDefault="00A34551" w:rsidP="00C014F8">
      <w:pPr>
        <w:bidi w:val="0"/>
        <w:ind w:firstLine="360"/>
      </w:pPr>
      <w:r>
        <w:t xml:space="preserve">There is a </w:t>
      </w:r>
      <w:proofErr w:type="spellStart"/>
      <w:r>
        <w:rPr>
          <w:i/>
          <w:iCs/>
        </w:rPr>
        <w:t>machloket</w:t>
      </w:r>
      <w:proofErr w:type="spellEnd"/>
      <w:r>
        <w:rPr>
          <w:i/>
          <w:iCs/>
        </w:rPr>
        <w:t xml:space="preserve"> </w:t>
      </w:r>
      <w:r>
        <w:t>whether there is a damage payment when Reuven keeps Shimon’s money away from him. Although the Rama (</w:t>
      </w:r>
      <w:proofErr w:type="spellStart"/>
      <w:r>
        <w:t>Choshen</w:t>
      </w:r>
      <w:proofErr w:type="spellEnd"/>
      <w:r>
        <w:t xml:space="preserve"> </w:t>
      </w:r>
      <w:proofErr w:type="spellStart"/>
      <w:r>
        <w:t>Mishpat</w:t>
      </w:r>
      <w:proofErr w:type="spellEnd"/>
      <w:r>
        <w:t xml:space="preserve"> 292:7) says there is no payment, many accept the </w:t>
      </w:r>
      <w:proofErr w:type="spellStart"/>
      <w:r>
        <w:t>Chatam</w:t>
      </w:r>
      <w:proofErr w:type="spellEnd"/>
      <w:r>
        <w:t xml:space="preserve"> </w:t>
      </w:r>
      <w:proofErr w:type="spellStart"/>
      <w:r>
        <w:t>Sofer’s</w:t>
      </w:r>
      <w:proofErr w:type="spellEnd"/>
      <w:r>
        <w:t xml:space="preserve"> (CM 178) distinction that when there is near certainty that Shimon would have earned profit with the money, he is entitled to damage payment. However, in this case, </w:t>
      </w:r>
      <w:r>
        <w:rPr>
          <w:i/>
          <w:iCs/>
        </w:rPr>
        <w:t>pl</w:t>
      </w:r>
      <w:r>
        <w:t xml:space="preserve"> invested his money in a purchase of a speculative nature, where profits could not be assumed. Furthermore, it is apparent from many halachic discussions of sales that were nullified due to a variety of flaws that only that which was paid is returned and no more (</w:t>
      </w:r>
      <w:proofErr w:type="spellStart"/>
      <w:r>
        <w:t>Bava</w:t>
      </w:r>
      <w:proofErr w:type="spellEnd"/>
      <w:r>
        <w:t xml:space="preserve"> Batra 93b is one example). </w:t>
      </w:r>
    </w:p>
    <w:p w14:paraId="0C8B1BA7" w14:textId="77777777" w:rsidR="00A34551" w:rsidRDefault="00A34551" w:rsidP="00C014F8">
      <w:pPr>
        <w:bidi w:val="0"/>
        <w:ind w:firstLine="360"/>
      </w:pPr>
      <w:r>
        <w:t xml:space="preserve">In addition to the above, it would also be a problem of </w:t>
      </w:r>
      <w:r>
        <w:rPr>
          <w:i/>
          <w:iCs/>
        </w:rPr>
        <w:t>ribbit</w:t>
      </w:r>
      <w:r>
        <w:t xml:space="preserve"> for </w:t>
      </w:r>
      <w:r>
        <w:rPr>
          <w:i/>
          <w:iCs/>
        </w:rPr>
        <w:t>pl</w:t>
      </w:r>
      <w:r>
        <w:t xml:space="preserve"> to receive more than he gave. This applies even to linking to inflation in an era of moderate inflation. It is true that one can learn from the Rama (CM 192:7) that when one steals, if he returns more than he took, it is not </w:t>
      </w:r>
      <w:r>
        <w:rPr>
          <w:i/>
          <w:iCs/>
        </w:rPr>
        <w:t>ribbit</w:t>
      </w:r>
      <w:r>
        <w:t xml:space="preserve">, as </w:t>
      </w:r>
      <w:r>
        <w:rPr>
          <w:i/>
          <w:iCs/>
        </w:rPr>
        <w:t xml:space="preserve">ribbit </w:t>
      </w:r>
      <w:r>
        <w:t xml:space="preserve">classically applies to loans. However, the money returned from a nullified sale is considered like a loan in this regard (Shulchan </w:t>
      </w:r>
      <w:proofErr w:type="spellStart"/>
      <w:r>
        <w:t>Aruch</w:t>
      </w:r>
      <w:proofErr w:type="spellEnd"/>
      <w:r>
        <w:t xml:space="preserve">, </w:t>
      </w:r>
      <w:proofErr w:type="spellStart"/>
      <w:r>
        <w:t>Yoreh</w:t>
      </w:r>
      <w:proofErr w:type="spellEnd"/>
      <w:r>
        <w:t xml:space="preserve"> </w:t>
      </w:r>
      <w:proofErr w:type="spellStart"/>
      <w:r>
        <w:t>Deah</w:t>
      </w:r>
      <w:proofErr w:type="spellEnd"/>
      <w:r>
        <w:t xml:space="preserve"> 174:7). The Maharam </w:t>
      </w:r>
      <w:proofErr w:type="spellStart"/>
      <w:r>
        <w:t>Shick</w:t>
      </w:r>
      <w:proofErr w:type="spellEnd"/>
      <w:r>
        <w:t xml:space="preserve"> (YD 161) says that in cases of severe deception, the money received can be considered like theft, but </w:t>
      </w:r>
      <w:r>
        <w:rPr>
          <w:i/>
          <w:iCs/>
        </w:rPr>
        <w:t>pl</w:t>
      </w:r>
      <w:r>
        <w:t xml:space="preserve"> did not prove that the misinformation in this case rose to that level.</w:t>
      </w:r>
    </w:p>
    <w:p w14:paraId="4FB09B0D" w14:textId="77777777" w:rsidR="00A34551" w:rsidRDefault="00A34551" w:rsidP="00C014F8">
      <w:pPr>
        <w:bidi w:val="0"/>
        <w:ind w:firstLine="360"/>
        <w:rPr>
          <w:rFonts w:cs="Miriam"/>
        </w:rPr>
      </w:pPr>
      <w:r>
        <w:t xml:space="preserve">Therefore, </w:t>
      </w:r>
      <w:r>
        <w:rPr>
          <w:i/>
          <w:iCs/>
        </w:rPr>
        <w:t>def</w:t>
      </w:r>
      <w:r>
        <w:t xml:space="preserve"> must return to </w:t>
      </w:r>
      <w:r>
        <w:rPr>
          <w:i/>
          <w:iCs/>
        </w:rPr>
        <w:t>pl</w:t>
      </w:r>
      <w:r>
        <w:t xml:space="preserve"> all the money </w:t>
      </w:r>
      <w:r>
        <w:rPr>
          <w:i/>
          <w:iCs/>
        </w:rPr>
        <w:t>pl</w:t>
      </w:r>
      <w:r>
        <w:t xml:space="preserve"> paid but not more than that. </w:t>
      </w:r>
    </w:p>
    <w:p w14:paraId="3348EB8F" w14:textId="63A723DD" w:rsidR="001452AA" w:rsidRPr="002343B1" w:rsidRDefault="001452AA" w:rsidP="00C014F8">
      <w:pPr>
        <w:bidi w:val="0"/>
        <w:ind w:firstLine="450"/>
        <w:jc w:val="both"/>
      </w:pPr>
    </w:p>
    <w:p w14:paraId="1F09FB13" w14:textId="1F5CA570" w:rsidR="00997CA0" w:rsidRDefault="00997CA0" w:rsidP="00C014F8">
      <w:pPr>
        <w:pStyle w:val="aff0"/>
        <w:jc w:val="both"/>
        <w:rPr>
          <w:color w:val="365F91"/>
        </w:rPr>
      </w:pPr>
    </w:p>
    <w:p w14:paraId="404380CB" w14:textId="78B0D40B" w:rsidR="00FD6AA2" w:rsidRDefault="00FD6AA2" w:rsidP="00C014F8">
      <w:pPr>
        <w:pStyle w:val="aff0"/>
        <w:jc w:val="both"/>
        <w:rPr>
          <w:color w:val="365F91"/>
        </w:rPr>
      </w:pPr>
    </w:p>
    <w:p w14:paraId="32C3A435" w14:textId="77777777" w:rsidR="00FD6AA2" w:rsidRDefault="00FD6AA2" w:rsidP="00C014F8">
      <w:pPr>
        <w:pStyle w:val="aff0"/>
        <w:jc w:val="both"/>
        <w:rPr>
          <w:color w:val="365F91"/>
        </w:rPr>
      </w:pPr>
    </w:p>
    <w:p w14:paraId="1742126A" w14:textId="77777777" w:rsidR="00997CA0" w:rsidRDefault="00997CA0" w:rsidP="00316F85">
      <w:pPr>
        <w:pStyle w:val="aff0"/>
        <w:jc w:val="center"/>
        <w:rPr>
          <w:color w:val="365F91"/>
        </w:rPr>
      </w:pPr>
    </w:p>
    <w:p w14:paraId="341FDC48" w14:textId="77777777" w:rsidR="00F63D62" w:rsidRDefault="00F63D62" w:rsidP="00316F85">
      <w:pPr>
        <w:pStyle w:val="aff0"/>
        <w:jc w:val="center"/>
        <w:rPr>
          <w:color w:val="365F91"/>
        </w:rPr>
      </w:pPr>
    </w:p>
    <w:p w14:paraId="3FF9BA6F" w14:textId="0405672A" w:rsidR="00316F85" w:rsidRDefault="00316F85" w:rsidP="00316F85">
      <w:pPr>
        <w:pStyle w:val="aff0"/>
        <w:jc w:val="center"/>
      </w:pPr>
      <w:r w:rsidRPr="0028756F">
        <w:rPr>
          <w:color w:val="365F91"/>
        </w:rPr>
        <w:t>Comments or questions regarding articles can be sent to:</w:t>
      </w:r>
      <w:r>
        <w:t xml:space="preserve">  </w:t>
      </w:r>
    </w:p>
    <w:p w14:paraId="6A72144E" w14:textId="77777777" w:rsidR="00316F85" w:rsidRDefault="00C014F8" w:rsidP="00316F85">
      <w:pPr>
        <w:pStyle w:val="aff0"/>
        <w:jc w:val="center"/>
      </w:pPr>
      <w:hyperlink r:id="rId21" w:history="1">
        <w:r w:rsidR="00316F85">
          <w:rPr>
            <w:rStyle w:val="Hyperlink"/>
          </w:rPr>
          <w:t>info@eretzhemdah.org</w:t>
        </w:r>
      </w:hyperlink>
    </w:p>
    <w:p w14:paraId="3581E853" w14:textId="38E907FF" w:rsidR="00312FEE" w:rsidRDefault="00312FEE" w:rsidP="00316F85">
      <w:pPr>
        <w:pStyle w:val="aff0"/>
        <w:jc w:val="center"/>
      </w:pPr>
    </w:p>
    <w:p w14:paraId="5EE491E2" w14:textId="2053964C" w:rsidR="00A9710F" w:rsidRDefault="00A9710F" w:rsidP="00316F85">
      <w:pPr>
        <w:pStyle w:val="aff0"/>
        <w:jc w:val="center"/>
      </w:pPr>
    </w:p>
    <w:p w14:paraId="41B9B24F" w14:textId="70E2E121" w:rsidR="00493D8D" w:rsidRDefault="00493D8D" w:rsidP="00316F85">
      <w:pPr>
        <w:pStyle w:val="aff0"/>
        <w:jc w:val="center"/>
      </w:pPr>
    </w:p>
    <w:p w14:paraId="1C4B2A82" w14:textId="77777777" w:rsidR="00493D8D" w:rsidRDefault="00493D8D" w:rsidP="00316F85">
      <w:pPr>
        <w:pStyle w:val="aff0"/>
        <w:jc w:val="center"/>
      </w:pPr>
    </w:p>
    <w:p w14:paraId="26A75838" w14:textId="77777777" w:rsidR="00316F85" w:rsidRDefault="00316F85" w:rsidP="00316F85">
      <w:pPr>
        <w:pStyle w:val="aff0"/>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a5"/>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a5"/>
      <w:tabs>
        <w:tab w:val="left" w:pos="6738"/>
        <w:tab w:val="right" w:pos="10798"/>
      </w:tabs>
      <w:rPr>
        <w:rFonts w:cs="David Transparent"/>
        <w:b/>
        <w:bCs/>
        <w:color w:val="333399"/>
        <w:sz w:val="14"/>
        <w:szCs w:val="14"/>
        <w:rtl/>
      </w:rPr>
    </w:pPr>
  </w:p>
  <w:p w14:paraId="2FA48B2E" w14:textId="77777777" w:rsidR="00973C63" w:rsidRDefault="00973C63" w:rsidP="000642DE">
    <w:pPr>
      <w:pStyle w:val="a5"/>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a5"/>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698FF0C2" w:rsidR="00973C63" w:rsidRDefault="00202AC2" w:rsidP="00202AC2">
    <w:pPr>
      <w:pStyle w:val="a5"/>
      <w:tabs>
        <w:tab w:val="left" w:pos="6738"/>
        <w:tab w:val="right" w:pos="10798"/>
      </w:tabs>
      <w:bidi w:val="0"/>
      <w:jc w:val="center"/>
      <w:rPr>
        <w:b/>
        <w:bCs/>
        <w:color w:val="D85640"/>
        <w:sz w:val="26"/>
        <w:szCs w:val="26"/>
      </w:rPr>
    </w:pPr>
    <w:r>
      <w:rPr>
        <w:b/>
        <w:bCs/>
        <w:color w:val="D85640"/>
        <w:sz w:val="26"/>
        <w:szCs w:val="26"/>
      </w:rPr>
      <w:t xml:space="preserve">                                                                                                            </w:t>
    </w:r>
    <w:r w:rsidR="008821E9">
      <w:rPr>
        <w:b/>
        <w:bCs/>
        <w:color w:val="D85640"/>
        <w:sz w:val="26"/>
        <w:szCs w:val="26"/>
      </w:rPr>
      <w:t>Chayei Sarah</w:t>
    </w:r>
  </w:p>
  <w:p w14:paraId="347F05EA" w14:textId="77777777" w:rsidR="00202AC2" w:rsidRDefault="00202AC2" w:rsidP="00202AC2">
    <w:pPr>
      <w:pStyle w:val="a5"/>
      <w:tabs>
        <w:tab w:val="left" w:pos="6738"/>
        <w:tab w:val="right" w:pos="10798"/>
      </w:tabs>
      <w:bidi w:val="0"/>
      <w:jc w:val="center"/>
      <w:rPr>
        <w:b/>
        <w:bCs/>
        <w:color w:val="D85640"/>
        <w:sz w:val="26"/>
        <w:szCs w:val="26"/>
      </w:rPr>
    </w:pPr>
  </w:p>
  <w:p w14:paraId="7BCBEF30" w14:textId="77777777" w:rsidR="004A359E" w:rsidRDefault="004A359E" w:rsidP="004A359E">
    <w:pPr>
      <w:pStyle w:val="a5"/>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a5"/>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902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902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style>
  <w:style w:type="paragraph" w:styleId="1">
    <w:name w:val="heading 1"/>
    <w:basedOn w:val="a"/>
    <w:next w:val="a"/>
    <w:qFormat/>
    <w:rsid w:val="006E34FF"/>
    <w:pPr>
      <w:keepNext/>
      <w:spacing w:before="240" w:after="60"/>
      <w:outlineLvl w:val="0"/>
    </w:pPr>
    <w:rPr>
      <w:b/>
      <w:bCs/>
      <w:kern w:val="32"/>
      <w:sz w:val="32"/>
      <w:szCs w:val="32"/>
    </w:rPr>
  </w:style>
  <w:style w:type="paragraph" w:styleId="2">
    <w:name w:val="heading 2"/>
    <w:basedOn w:val="a"/>
    <w:next w:val="a"/>
    <w:link w:val="20"/>
    <w:qFormat/>
    <w:rsid w:val="00C8066C"/>
    <w:pPr>
      <w:keepNext/>
      <w:spacing w:before="240" w:after="60"/>
      <w:outlineLvl w:val="1"/>
    </w:pPr>
    <w:rPr>
      <w:b/>
      <w:bCs/>
      <w:i/>
      <w:iCs/>
      <w:sz w:val="28"/>
      <w:szCs w:val="28"/>
    </w:rPr>
  </w:style>
  <w:style w:type="paragraph" w:styleId="3">
    <w:name w:val="heading 3"/>
    <w:basedOn w:val="a"/>
    <w:next w:val="a"/>
    <w:qFormat/>
    <w:rsid w:val="00BC1F4D"/>
    <w:pPr>
      <w:keepNext/>
      <w:spacing w:before="240" w:after="60"/>
      <w:outlineLvl w:val="2"/>
    </w:pPr>
    <w:rPr>
      <w:b/>
      <w:bCs/>
      <w:sz w:val="26"/>
      <w:szCs w:val="26"/>
    </w:rPr>
  </w:style>
  <w:style w:type="paragraph" w:styleId="4">
    <w:name w:val="heading 4"/>
    <w:basedOn w:val="a"/>
    <w:next w:val="a"/>
    <w:qFormat/>
    <w:rsid w:val="000213D0"/>
    <w:pPr>
      <w:keepNext/>
      <w:spacing w:before="240" w:after="60"/>
      <w:outlineLvl w:val="3"/>
    </w:pPr>
    <w:rPr>
      <w:b/>
      <w:bCs/>
      <w:sz w:val="28"/>
      <w:szCs w:val="28"/>
    </w:rPr>
  </w:style>
  <w:style w:type="paragraph" w:styleId="5">
    <w:name w:val="heading 5"/>
    <w:basedOn w:val="a"/>
    <w:next w:val="a"/>
    <w:qFormat/>
    <w:rsid w:val="00A1508C"/>
    <w:pPr>
      <w:keepNext/>
      <w:outlineLvl w:val="4"/>
    </w:pPr>
    <w:rPr>
      <w:rFonts w:cs="Miriam"/>
      <w:b/>
      <w:bCs/>
      <w:lang w:eastAsia="he-IL"/>
    </w:rPr>
  </w:style>
  <w:style w:type="paragraph" w:styleId="6">
    <w:name w:val="heading 6"/>
    <w:basedOn w:val="a"/>
    <w:next w:val="a"/>
    <w:qFormat/>
    <w:rsid w:val="00C8066C"/>
    <w:pPr>
      <w:spacing w:before="240" w:after="60"/>
      <w:outlineLvl w:val="5"/>
    </w:pPr>
    <w:rPr>
      <w:b/>
      <w:bCs/>
      <w:sz w:val="22"/>
      <w:szCs w:val="22"/>
    </w:rPr>
  </w:style>
  <w:style w:type="paragraph" w:styleId="7">
    <w:name w:val="heading 7"/>
    <w:basedOn w:val="a"/>
    <w:next w:val="a"/>
    <w:qFormat/>
    <w:rsid w:val="00166F1A"/>
    <w:pPr>
      <w:keepNext/>
      <w:outlineLvl w:val="6"/>
    </w:pPr>
    <w:rPr>
      <w:sz w:val="26"/>
      <w:szCs w:val="26"/>
      <w:lang w:eastAsia="he-IL"/>
    </w:rPr>
  </w:style>
  <w:style w:type="paragraph" w:styleId="8">
    <w:name w:val="heading 8"/>
    <w:basedOn w:val="a"/>
    <w:next w:val="a"/>
    <w:qFormat/>
    <w:rsid w:val="00850C01"/>
    <w:pPr>
      <w:spacing w:before="240" w:after="60"/>
      <w:outlineLvl w:val="7"/>
    </w:pPr>
    <w:rPr>
      <w:i/>
      <w:iCs/>
    </w:rPr>
  </w:style>
  <w:style w:type="paragraph" w:styleId="9">
    <w:name w:val="heading 9"/>
    <w:basedOn w:val="a"/>
    <w:next w:val="a"/>
    <w:qFormat/>
    <w:rsid w:val="00203E0F"/>
    <w:pPr>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a4">
    <w:name w:val="Body Text Indent"/>
    <w:basedOn w:val="a"/>
    <w:rsid w:val="006E34FF"/>
    <w:pPr>
      <w:spacing w:after="120" w:line="480" w:lineRule="auto"/>
    </w:pPr>
    <w:rPr>
      <w:rFonts w:cs="David"/>
      <w:noProof/>
      <w:szCs w:val="28"/>
      <w:lang w:eastAsia="he-IL"/>
    </w:rPr>
  </w:style>
  <w:style w:type="paragraph" w:styleId="a5">
    <w:name w:val="header"/>
    <w:basedOn w:val="a"/>
    <w:rsid w:val="00B03246"/>
    <w:pPr>
      <w:tabs>
        <w:tab w:val="center" w:pos="4153"/>
        <w:tab w:val="right" w:pos="8306"/>
      </w:tabs>
    </w:pPr>
  </w:style>
  <w:style w:type="paragraph" w:styleId="a6">
    <w:name w:val="footer"/>
    <w:basedOn w:val="a"/>
    <w:rsid w:val="00B03246"/>
    <w:pPr>
      <w:tabs>
        <w:tab w:val="center" w:pos="4153"/>
        <w:tab w:val="right" w:pos="8306"/>
      </w:tabs>
    </w:pPr>
  </w:style>
  <w:style w:type="character" w:styleId="FollowedHyperlink">
    <w:name w:val="FollowedHyperlink"/>
    <w:rsid w:val="004F5888"/>
    <w:rPr>
      <w:color w:val="800080"/>
      <w:u w:val="single"/>
    </w:rPr>
  </w:style>
  <w:style w:type="paragraph" w:styleId="a7">
    <w:name w:val="footnote text"/>
    <w:basedOn w:val="a"/>
    <w:semiHidden/>
    <w:rsid w:val="00850C01"/>
    <w:pPr>
      <w:spacing w:line="360" w:lineRule="auto"/>
    </w:pPr>
    <w:rPr>
      <w:lang w:eastAsia="he-IL"/>
    </w:rPr>
  </w:style>
  <w:style w:type="character" w:styleId="a8">
    <w:name w:val="footnote reference"/>
    <w:semiHidden/>
    <w:rsid w:val="00850C01"/>
    <w:rPr>
      <w:rFonts w:ascii="Times New Roman" w:hAnsi="Times New Roman" w:cs="Times New Roman"/>
      <w:vertAlign w:val="superscript"/>
    </w:rPr>
  </w:style>
  <w:style w:type="paragraph" w:styleId="a9">
    <w:name w:val="endnote text"/>
    <w:basedOn w:val="a"/>
    <w:link w:val="aa"/>
    <w:rsid w:val="00850C01"/>
    <w:pPr>
      <w:bidi w:val="0"/>
    </w:pPr>
    <w:rPr>
      <w:lang w:eastAsia="he-IL"/>
    </w:rPr>
  </w:style>
  <w:style w:type="character" w:styleId="ab">
    <w:name w:val="endnote reference"/>
    <w:semiHidden/>
    <w:rsid w:val="00850C01"/>
    <w:rPr>
      <w:rFonts w:ascii="Times New Roman" w:hAnsi="Times New Roman" w:cs="Times New Roman"/>
      <w:vertAlign w:val="superscript"/>
    </w:rPr>
  </w:style>
  <w:style w:type="paragraph" w:customStyle="1" w:styleId="ac">
    <w:name w:val="א שוליים תו"/>
    <w:basedOn w:val="a7"/>
    <w:link w:val="ad"/>
    <w:rsid w:val="00F427B8"/>
    <w:pPr>
      <w:spacing w:line="240" w:lineRule="auto"/>
    </w:pPr>
    <w:rPr>
      <w:sz w:val="24"/>
      <w:szCs w:val="24"/>
      <w:lang w:eastAsia="en-US"/>
    </w:rPr>
  </w:style>
  <w:style w:type="paragraph" w:customStyle="1" w:styleId="10">
    <w:name w:val="א כותרת 1"/>
    <w:basedOn w:val="1"/>
    <w:link w:val="11"/>
    <w:rsid w:val="00F427B8"/>
    <w:pPr>
      <w:jc w:val="center"/>
    </w:pPr>
    <w:rPr>
      <w:rFonts w:cs="Narkisim"/>
      <w:szCs w:val="40"/>
    </w:rPr>
  </w:style>
  <w:style w:type="paragraph" w:customStyle="1" w:styleId="ae">
    <w:name w:val="א טקסט תו"/>
    <w:basedOn w:val="a"/>
    <w:link w:val="af"/>
    <w:rsid w:val="00F427B8"/>
    <w:pPr>
      <w:jc w:val="both"/>
    </w:pPr>
    <w:rPr>
      <w:rFonts w:cs="FrankRuehl"/>
      <w:sz w:val="28"/>
      <w:szCs w:val="32"/>
    </w:rPr>
  </w:style>
  <w:style w:type="paragraph" w:customStyle="1" w:styleId="af0">
    <w:name w:val="א ציטוט תו"/>
    <w:basedOn w:val="a"/>
    <w:link w:val="af1"/>
    <w:rsid w:val="00F427B8"/>
    <w:pPr>
      <w:ind w:left="340"/>
      <w:jc w:val="both"/>
    </w:pPr>
    <w:rPr>
      <w:rFonts w:cs="FrankRuehl"/>
      <w:sz w:val="32"/>
      <w:szCs w:val="32"/>
    </w:rPr>
  </w:style>
  <w:style w:type="paragraph" w:customStyle="1" w:styleId="21">
    <w:name w:val="א כותרת 2"/>
    <w:basedOn w:val="a"/>
    <w:link w:val="22"/>
    <w:rsid w:val="00F427B8"/>
    <w:pPr>
      <w:keepNext/>
      <w:spacing w:before="240" w:after="60"/>
      <w:outlineLvl w:val="1"/>
    </w:pPr>
    <w:rPr>
      <w:rFonts w:cs="Narkisim"/>
      <w:b/>
      <w:bCs/>
      <w:i/>
      <w:iCs/>
      <w:sz w:val="32"/>
      <w:szCs w:val="32"/>
    </w:rPr>
  </w:style>
  <w:style w:type="character" w:styleId="af2">
    <w:name w:val="page number"/>
    <w:basedOn w:val="a0"/>
    <w:rsid w:val="00F427B8"/>
  </w:style>
  <w:style w:type="character" w:customStyle="1" w:styleId="ad">
    <w:name w:val="א שוליים תו תו"/>
    <w:link w:val="ac"/>
    <w:rsid w:val="00F427B8"/>
    <w:rPr>
      <w:sz w:val="24"/>
      <w:szCs w:val="24"/>
      <w:lang w:val="en-US" w:eastAsia="en-US" w:bidi="he-IL"/>
    </w:rPr>
  </w:style>
  <w:style w:type="paragraph" w:styleId="af3">
    <w:name w:val="Balloon Text"/>
    <w:basedOn w:val="a"/>
    <w:semiHidden/>
    <w:rsid w:val="00875E61"/>
    <w:rPr>
      <w:rFonts w:ascii="Tahoma" w:hAnsi="Tahoma" w:cs="Tahoma"/>
      <w:sz w:val="16"/>
      <w:szCs w:val="16"/>
    </w:rPr>
  </w:style>
  <w:style w:type="character" w:customStyle="1" w:styleId="af1">
    <w:name w:val="א ציטוט תו תו"/>
    <w:link w:val="af0"/>
    <w:rsid w:val="00AF0E4E"/>
    <w:rPr>
      <w:rFonts w:cs="FrankRuehl"/>
      <w:sz w:val="32"/>
      <w:szCs w:val="32"/>
      <w:lang w:val="en-US" w:eastAsia="en-US" w:bidi="he-IL"/>
    </w:rPr>
  </w:style>
  <w:style w:type="paragraph" w:customStyle="1" w:styleId="23">
    <w:name w:val="2"/>
    <w:basedOn w:val="a"/>
    <w:next w:val="24"/>
    <w:rsid w:val="008E146F"/>
    <w:pPr>
      <w:ind w:left="459"/>
      <w:jc w:val="both"/>
    </w:pPr>
    <w:rPr>
      <w:rFonts w:cs="David"/>
    </w:rPr>
  </w:style>
  <w:style w:type="paragraph" w:styleId="24">
    <w:name w:val="Body Text Indent 2"/>
    <w:basedOn w:val="a"/>
    <w:rsid w:val="008E146F"/>
    <w:pPr>
      <w:spacing w:after="120" w:line="480" w:lineRule="auto"/>
      <w:ind w:left="283"/>
    </w:pPr>
  </w:style>
  <w:style w:type="paragraph" w:customStyle="1" w:styleId="12">
    <w:name w:val="א  כותרת 1"/>
    <w:basedOn w:val="1"/>
    <w:rsid w:val="003B3767"/>
    <w:pPr>
      <w:jc w:val="center"/>
    </w:pPr>
  </w:style>
  <w:style w:type="paragraph" w:customStyle="1" w:styleId="af4">
    <w:name w:val="א שוליים"/>
    <w:basedOn w:val="a7"/>
    <w:rsid w:val="00BE6D71"/>
    <w:pPr>
      <w:spacing w:line="240" w:lineRule="auto"/>
    </w:pPr>
    <w:rPr>
      <w:lang w:eastAsia="en-US"/>
    </w:rPr>
  </w:style>
  <w:style w:type="paragraph" w:customStyle="1" w:styleId="af5">
    <w:name w:val="א ציטוט"/>
    <w:basedOn w:val="a"/>
    <w:rsid w:val="00BE6D71"/>
    <w:pPr>
      <w:ind w:left="340"/>
      <w:jc w:val="both"/>
    </w:pPr>
    <w:rPr>
      <w:rFonts w:cs="FrankRuehl"/>
      <w:sz w:val="32"/>
      <w:szCs w:val="32"/>
    </w:rPr>
  </w:style>
  <w:style w:type="character" w:customStyle="1" w:styleId="af">
    <w:name w:val="א טקסט תו תו"/>
    <w:link w:val="ae"/>
    <w:rsid w:val="00BE6D71"/>
    <w:rPr>
      <w:rFonts w:cs="FrankRuehl"/>
      <w:sz w:val="28"/>
      <w:szCs w:val="32"/>
      <w:lang w:val="en-US" w:eastAsia="en-US" w:bidi="he-IL"/>
    </w:rPr>
  </w:style>
  <w:style w:type="paragraph" w:customStyle="1" w:styleId="Heading51">
    <w:name w:val="Heading 51"/>
    <w:basedOn w:val="a"/>
    <w:next w:val="a"/>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af6">
    <w:name w:val="Body Text"/>
    <w:basedOn w:val="a"/>
    <w:rsid w:val="00435CDB"/>
    <w:pPr>
      <w:spacing w:after="120"/>
    </w:pPr>
  </w:style>
  <w:style w:type="paragraph" w:customStyle="1" w:styleId="af7">
    <w:name w:val="א טקסט"/>
    <w:basedOn w:val="a"/>
    <w:rsid w:val="00F23290"/>
    <w:pPr>
      <w:jc w:val="both"/>
    </w:pPr>
    <w:rPr>
      <w:rFonts w:cs="FrankRuehl"/>
      <w:sz w:val="28"/>
      <w:szCs w:val="32"/>
    </w:rPr>
  </w:style>
  <w:style w:type="character" w:customStyle="1" w:styleId="11">
    <w:name w:val="א כותרת 1 תו"/>
    <w:link w:val="10"/>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2">
    <w:name w:val="א כותרת 2 תו"/>
    <w:link w:val="21"/>
    <w:rsid w:val="003670F2"/>
    <w:rPr>
      <w:rFonts w:ascii="Arial" w:hAnsi="Arial" w:cs="Narkisim"/>
      <w:b/>
      <w:bCs/>
      <w:i/>
      <w:iCs/>
      <w:sz w:val="32"/>
      <w:szCs w:val="32"/>
      <w:lang w:val="en-US" w:eastAsia="en-US" w:bidi="he-IL"/>
    </w:rPr>
  </w:style>
  <w:style w:type="paragraph" w:styleId="25">
    <w:name w:val="Body Text 2"/>
    <w:basedOn w:val="a"/>
    <w:rsid w:val="00FD2089"/>
    <w:pPr>
      <w:spacing w:after="120" w:line="480" w:lineRule="auto"/>
    </w:pPr>
  </w:style>
  <w:style w:type="paragraph" w:styleId="af8">
    <w:name w:val="Block Text"/>
    <w:basedOn w:val="a"/>
    <w:rsid w:val="00A1508C"/>
    <w:pPr>
      <w:spacing w:line="360" w:lineRule="auto"/>
      <w:ind w:left="141"/>
    </w:pPr>
    <w:rPr>
      <w:rFonts w:cs="David"/>
      <w:noProof/>
      <w:szCs w:val="22"/>
      <w:lang w:eastAsia="he-IL"/>
    </w:rPr>
  </w:style>
  <w:style w:type="paragraph" w:styleId="30">
    <w:name w:val="Body Text 3"/>
    <w:basedOn w:val="a"/>
    <w:rsid w:val="00A1508C"/>
    <w:pPr>
      <w:jc w:val="both"/>
    </w:pPr>
    <w:rPr>
      <w:rFonts w:cs="David"/>
      <w:noProof/>
      <w:sz w:val="23"/>
      <w:szCs w:val="23"/>
      <w:lang w:eastAsia="he-IL"/>
    </w:rPr>
  </w:style>
  <w:style w:type="paragraph" w:customStyle="1" w:styleId="af9">
    <w:name w:val="הסבר"/>
    <w:basedOn w:val="a"/>
    <w:rsid w:val="00A1508C"/>
    <w:pPr>
      <w:spacing w:after="120" w:line="300" w:lineRule="exact"/>
      <w:ind w:left="748"/>
      <w:jc w:val="both"/>
    </w:pPr>
    <w:rPr>
      <w:sz w:val="22"/>
      <w:szCs w:val="22"/>
      <w:lang w:eastAsia="he-IL"/>
    </w:rPr>
  </w:style>
  <w:style w:type="paragraph" w:customStyle="1" w:styleId="Blockquote">
    <w:name w:val="Blockquote"/>
    <w:basedOn w:val="a"/>
    <w:rsid w:val="00A1508C"/>
    <w:pPr>
      <w:bidi w:val="0"/>
      <w:snapToGrid w:val="0"/>
      <w:spacing w:before="100" w:after="100"/>
      <w:ind w:left="360" w:right="360"/>
    </w:pPr>
    <w:rPr>
      <w:rFonts w:cs="Miriam"/>
      <w:lang w:eastAsia="he-IL"/>
    </w:rPr>
  </w:style>
  <w:style w:type="paragraph" w:customStyle="1" w:styleId="BodyText21">
    <w:name w:val="Body Text 21"/>
    <w:basedOn w:val="a"/>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3">
    <w:name w:val="א1 הערת שוליים תו"/>
    <w:link w:val="14"/>
    <w:rsid w:val="00131D6D"/>
    <w:rPr>
      <w:rFonts w:ascii="Arial" w:hAnsi="Arial" w:cs="Arial"/>
      <w:lang w:val="en-US" w:eastAsia="en-US" w:bidi="he-IL"/>
    </w:rPr>
  </w:style>
  <w:style w:type="paragraph" w:customStyle="1" w:styleId="15">
    <w:name w:val="א1 כותרת ראשית"/>
    <w:basedOn w:val="a"/>
    <w:rsid w:val="00131D6D"/>
    <w:pPr>
      <w:spacing w:line="360" w:lineRule="auto"/>
      <w:jc w:val="center"/>
    </w:pPr>
    <w:rPr>
      <w:b/>
      <w:bCs/>
      <w:color w:val="0000FF"/>
      <w:szCs w:val="40"/>
    </w:rPr>
  </w:style>
  <w:style w:type="paragraph" w:customStyle="1" w:styleId="16">
    <w:name w:val="א1 טקסט"/>
    <w:basedOn w:val="a"/>
    <w:link w:val="17"/>
    <w:autoRedefine/>
    <w:rsid w:val="00181D28"/>
    <w:pPr>
      <w:spacing w:line="360" w:lineRule="auto"/>
      <w:jc w:val="both"/>
    </w:pPr>
    <w:rPr>
      <w:rFonts w:cs="David"/>
    </w:rPr>
  </w:style>
  <w:style w:type="paragraph" w:customStyle="1" w:styleId="18">
    <w:name w:val="א1 כותרת משנה"/>
    <w:basedOn w:val="a"/>
    <w:link w:val="19"/>
    <w:rsid w:val="00131D6D"/>
    <w:pPr>
      <w:spacing w:line="360" w:lineRule="auto"/>
    </w:pPr>
    <w:rPr>
      <w:b/>
      <w:bCs/>
      <w:sz w:val="26"/>
      <w:szCs w:val="26"/>
    </w:rPr>
  </w:style>
  <w:style w:type="paragraph" w:customStyle="1" w:styleId="1a">
    <w:name w:val="א1 ציטוט מקור"/>
    <w:basedOn w:val="a"/>
    <w:link w:val="1b"/>
    <w:autoRedefine/>
    <w:rsid w:val="0089097B"/>
    <w:pPr>
      <w:ind w:left="360"/>
      <w:jc w:val="both"/>
    </w:pPr>
    <w:rPr>
      <w:rFonts w:cs="David"/>
    </w:rPr>
  </w:style>
  <w:style w:type="paragraph" w:customStyle="1" w:styleId="14">
    <w:name w:val="א1 הערת שוליים"/>
    <w:basedOn w:val="a7"/>
    <w:link w:val="13"/>
    <w:rsid w:val="00131D6D"/>
    <w:pPr>
      <w:jc w:val="both"/>
    </w:pPr>
    <w:rPr>
      <w:lang w:eastAsia="en-US"/>
    </w:rPr>
  </w:style>
  <w:style w:type="paragraph" w:customStyle="1" w:styleId="1c">
    <w:name w:val="סגנון א1 ציטוט מקור + מיושר לשני הצדדים"/>
    <w:basedOn w:val="1a"/>
    <w:rsid w:val="00131D6D"/>
  </w:style>
  <w:style w:type="character" w:customStyle="1" w:styleId="17">
    <w:name w:val="א1 טקסט תו"/>
    <w:link w:val="16"/>
    <w:rsid w:val="00181D28"/>
    <w:rPr>
      <w:rFonts w:ascii="Arial" w:hAnsi="Arial" w:cs="David"/>
      <w:sz w:val="24"/>
      <w:szCs w:val="24"/>
      <w:lang w:val="en-US" w:eastAsia="en-US" w:bidi="he-IL"/>
    </w:rPr>
  </w:style>
  <w:style w:type="paragraph" w:styleId="NormalWeb">
    <w:name w:val="Normal (Web)"/>
    <w:basedOn w:val="a"/>
    <w:rsid w:val="009F55F5"/>
    <w:pPr>
      <w:bidi w:val="0"/>
      <w:spacing w:before="100" w:beforeAutospacing="1" w:after="100" w:afterAutospacing="1"/>
    </w:pPr>
  </w:style>
  <w:style w:type="character" w:customStyle="1" w:styleId="1b">
    <w:name w:val="א1 ציטוט מקור תו"/>
    <w:link w:val="1a"/>
    <w:rsid w:val="0089097B"/>
    <w:rPr>
      <w:rFonts w:cs="David"/>
      <w:sz w:val="24"/>
      <w:szCs w:val="24"/>
      <w:lang w:val="en-US" w:eastAsia="en-US" w:bidi="he-IL"/>
    </w:rPr>
  </w:style>
  <w:style w:type="character" w:styleId="afa">
    <w:name w:val="annotation reference"/>
    <w:semiHidden/>
    <w:rsid w:val="00453176"/>
    <w:rPr>
      <w:sz w:val="16"/>
      <w:szCs w:val="16"/>
    </w:rPr>
  </w:style>
  <w:style w:type="paragraph" w:styleId="afb">
    <w:name w:val="annotation text"/>
    <w:basedOn w:val="a"/>
    <w:semiHidden/>
    <w:rsid w:val="00453176"/>
  </w:style>
  <w:style w:type="paragraph" w:styleId="afc">
    <w:name w:val="annotation subject"/>
    <w:basedOn w:val="afb"/>
    <w:next w:val="afb"/>
    <w:semiHidden/>
    <w:rsid w:val="00453176"/>
    <w:rPr>
      <w:b/>
      <w:bCs/>
    </w:rPr>
  </w:style>
  <w:style w:type="paragraph" w:customStyle="1" w:styleId="1d">
    <w:name w:val="א1 ק טקסט"/>
    <w:basedOn w:val="a"/>
    <w:link w:val="1e"/>
    <w:autoRedefine/>
    <w:rsid w:val="006911B0"/>
    <w:pPr>
      <w:jc w:val="both"/>
    </w:pPr>
    <w:rPr>
      <w:rFonts w:cs="David"/>
      <w:color w:val="000000"/>
    </w:rPr>
  </w:style>
  <w:style w:type="character" w:customStyle="1" w:styleId="1e">
    <w:name w:val="א1 ק טקסט תו תו"/>
    <w:link w:val="1d"/>
    <w:rsid w:val="006911B0"/>
    <w:rPr>
      <w:rFonts w:ascii="Arial" w:hAnsi="Arial" w:cs="David"/>
      <w:color w:val="000000"/>
      <w:sz w:val="24"/>
      <w:szCs w:val="24"/>
      <w:lang w:val="en-US" w:eastAsia="en-US" w:bidi="he-IL"/>
    </w:rPr>
  </w:style>
  <w:style w:type="character" w:customStyle="1" w:styleId="19">
    <w:name w:val="א1 כותרת משנה תו"/>
    <w:link w:val="18"/>
    <w:rsid w:val="001C0862"/>
    <w:rPr>
      <w:rFonts w:ascii="Arial" w:hAnsi="Arial" w:cs="Arial"/>
      <w:b/>
      <w:bCs/>
      <w:sz w:val="26"/>
      <w:szCs w:val="26"/>
      <w:lang w:val="en-US" w:eastAsia="en-US" w:bidi="he-IL"/>
    </w:rPr>
  </w:style>
  <w:style w:type="paragraph" w:customStyle="1" w:styleId="1f">
    <w:name w:val="1"/>
    <w:basedOn w:val="a"/>
    <w:rsid w:val="0057388A"/>
    <w:pPr>
      <w:keepNext/>
      <w:spacing w:before="240" w:after="60" w:line="360" w:lineRule="auto"/>
      <w:jc w:val="center"/>
    </w:pPr>
    <w:rPr>
      <w:b/>
      <w:bCs/>
      <w:sz w:val="32"/>
      <w:szCs w:val="32"/>
    </w:rPr>
  </w:style>
  <w:style w:type="paragraph" w:customStyle="1" w:styleId="100">
    <w:name w:val="10"/>
    <w:basedOn w:val="a"/>
    <w:rsid w:val="0057388A"/>
    <w:pPr>
      <w:spacing w:line="360" w:lineRule="auto"/>
      <w:jc w:val="both"/>
    </w:pPr>
  </w:style>
  <w:style w:type="paragraph" w:customStyle="1" w:styleId="110">
    <w:name w:val="11"/>
    <w:basedOn w:val="a"/>
    <w:rsid w:val="0057388A"/>
    <w:pPr>
      <w:spacing w:line="360" w:lineRule="auto"/>
      <w:jc w:val="both"/>
    </w:pPr>
    <w:rPr>
      <w:sz w:val="22"/>
      <w:szCs w:val="22"/>
    </w:rPr>
  </w:style>
  <w:style w:type="paragraph" w:customStyle="1" w:styleId="120">
    <w:name w:val="12"/>
    <w:basedOn w:val="a"/>
    <w:rsid w:val="0057388A"/>
    <w:pPr>
      <w:spacing w:line="360" w:lineRule="auto"/>
    </w:pPr>
    <w:rPr>
      <w:b/>
      <w:bCs/>
      <w:sz w:val="26"/>
      <w:szCs w:val="26"/>
    </w:rPr>
  </w:style>
  <w:style w:type="paragraph" w:customStyle="1" w:styleId="130">
    <w:name w:val="13"/>
    <w:basedOn w:val="a"/>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8"/>
    <w:autoRedefine/>
    <w:rsid w:val="00A64951"/>
    <w:pPr>
      <w:spacing w:line="240" w:lineRule="auto"/>
    </w:pPr>
    <w:rPr>
      <w:rFonts w:cs="David"/>
      <w:i/>
      <w:iCs/>
      <w:sz w:val="28"/>
      <w:szCs w:val="28"/>
      <w:lang w:eastAsia="he-IL"/>
    </w:rPr>
  </w:style>
  <w:style w:type="paragraph" w:customStyle="1" w:styleId="1f0">
    <w:name w:val="ציטוט1"/>
    <w:basedOn w:val="a"/>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aa">
    <w:name w:val="טקסט הערת סיום תו"/>
    <w:link w:val="a9"/>
    <w:rsid w:val="00AE7E33"/>
    <w:rPr>
      <w:lang w:val="en-US" w:eastAsia="he-IL" w:bidi="he-IL"/>
    </w:rPr>
  </w:style>
  <w:style w:type="paragraph" w:customStyle="1" w:styleId="1f1">
    <w:name w:val="פיסקת רשימה1"/>
    <w:basedOn w:val="a"/>
    <w:link w:val="ListParagraph"/>
    <w:qFormat/>
    <w:rsid w:val="00100DEB"/>
    <w:pPr>
      <w:spacing w:after="200" w:line="276" w:lineRule="auto"/>
      <w:ind w:left="720"/>
      <w:contextualSpacing/>
    </w:pPr>
    <w:rPr>
      <w:rFonts w:ascii="Calibri" w:hAnsi="Calibri"/>
      <w:sz w:val="22"/>
      <w:szCs w:val="22"/>
    </w:rPr>
  </w:style>
  <w:style w:type="character" w:customStyle="1" w:styleId="afd">
    <w:name w:val="הדגשה מעודנת"/>
    <w:qFormat/>
    <w:rsid w:val="00100DEB"/>
    <w:rPr>
      <w:i/>
      <w:iCs/>
      <w:color w:val="808080"/>
    </w:rPr>
  </w:style>
  <w:style w:type="character" w:styleId="afe">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a0"/>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a0"/>
    <w:rsid w:val="0011609D"/>
  </w:style>
  <w:style w:type="character" w:customStyle="1" w:styleId="20">
    <w:name w:val="כותרת 2 תו"/>
    <w:link w:val="2"/>
    <w:rsid w:val="005E249F"/>
    <w:rPr>
      <w:rFonts w:ascii="Arial" w:hAnsi="Arial" w:cs="Arial"/>
      <w:b/>
      <w:bCs/>
      <w:i/>
      <w:iCs/>
      <w:sz w:val="28"/>
      <w:szCs w:val="28"/>
    </w:rPr>
  </w:style>
  <w:style w:type="character" w:styleId="aff">
    <w:name w:val="Emphasis"/>
    <w:uiPriority w:val="20"/>
    <w:qFormat/>
    <w:rsid w:val="003420BB"/>
    <w:rPr>
      <w:i/>
      <w:iCs/>
    </w:rPr>
  </w:style>
  <w:style w:type="paragraph" w:customStyle="1" w:styleId="m-2436609287280606421msonospacing">
    <w:name w:val="m_-2436609287280606421msonospacing"/>
    <w:basedOn w:val="a"/>
    <w:rsid w:val="00D83E2F"/>
    <w:pPr>
      <w:bidi w:val="0"/>
      <w:spacing w:before="100" w:beforeAutospacing="1" w:after="100" w:afterAutospacing="1"/>
    </w:pPr>
    <w:rPr>
      <w:rFonts w:ascii="Times New Roman" w:hAnsi="Times New Roman" w:cs="Times New Roman"/>
      <w:sz w:val="24"/>
      <w:szCs w:val="24"/>
    </w:rPr>
  </w:style>
  <w:style w:type="paragraph" w:styleId="aff0">
    <w:name w:val="Plain Text"/>
    <w:basedOn w:val="a"/>
    <w:link w:val="aff1"/>
    <w:uiPriority w:val="99"/>
    <w:unhideWhenUsed/>
    <w:rsid w:val="005D79D9"/>
    <w:pPr>
      <w:bidi w:val="0"/>
    </w:pPr>
    <w:rPr>
      <w:rFonts w:ascii="Calibri" w:eastAsia="Calibri" w:hAnsi="Calibri" w:cs="Times New Roman"/>
      <w:sz w:val="22"/>
      <w:szCs w:val="22"/>
    </w:rPr>
  </w:style>
  <w:style w:type="character" w:customStyle="1" w:styleId="aff1">
    <w:name w:val="טקסט רגיל תו"/>
    <w:link w:val="aff0"/>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a"/>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1"/>
    <w:rsid w:val="001443B6"/>
    <w:rPr>
      <w:rFonts w:ascii="Calibri" w:hAnsi="Calibri"/>
      <w:sz w:val="22"/>
      <w:szCs w:val="22"/>
    </w:rPr>
  </w:style>
  <w:style w:type="paragraph" w:customStyle="1" w:styleId="segmenttext">
    <w:name w:val="segmenttext"/>
    <w:basedOn w:val="a"/>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a"/>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etzhemdah.org/AskTheRabbi.asp?pageid=3&amp;lang=en"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2880</Words>
  <Characters>14380</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17226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rachel</cp:lastModifiedBy>
  <cp:revision>6</cp:revision>
  <cp:lastPrinted>2025-11-06T13:09:00Z</cp:lastPrinted>
  <dcterms:created xsi:type="dcterms:W3CDTF">2025-11-09T12:50:00Z</dcterms:created>
  <dcterms:modified xsi:type="dcterms:W3CDTF">2025-11-10T14:33:00Z</dcterms:modified>
</cp:coreProperties>
</file>