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A3A1531"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r w:rsidR="006B5B4D">
              <w:rPr>
                <w:b/>
                <w:bCs/>
                <w:color w:val="D85640"/>
                <w:sz w:val="28"/>
                <w:szCs w:val="28"/>
              </w:rPr>
              <w:t>Vayigash</w:t>
            </w:r>
            <w:proofErr w:type="spellEnd"/>
            <w:r w:rsidR="00563D69" w:rsidRPr="008326B2">
              <w:rPr>
                <w:b/>
                <w:bCs/>
                <w:color w:val="D85640"/>
                <w:sz w:val="28"/>
                <w:szCs w:val="28"/>
              </w:rPr>
              <w:t>,</w:t>
            </w:r>
            <w:r w:rsidR="00DB429E" w:rsidRPr="008326B2">
              <w:rPr>
                <w:b/>
                <w:bCs/>
                <w:color w:val="D85640"/>
                <w:sz w:val="28"/>
                <w:szCs w:val="28"/>
              </w:rPr>
              <w:t xml:space="preserve"> </w:t>
            </w:r>
            <w:r w:rsidR="006B5B4D">
              <w:rPr>
                <w:b/>
                <w:bCs/>
                <w:color w:val="D85640"/>
                <w:sz w:val="28"/>
                <w:szCs w:val="28"/>
              </w:rPr>
              <w:t>Tevet 7</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F8CC06A" w14:textId="77777777" w:rsidR="006B5B4D" w:rsidRDefault="006B5B4D" w:rsidP="006B5B4D">
            <w:pPr>
              <w:jc w:val="center"/>
              <w:rPr>
                <w:color w:val="002060"/>
              </w:rPr>
            </w:pPr>
            <w:r>
              <w:rPr>
                <w:b/>
                <w:bCs/>
                <w:color w:val="002060"/>
                <w:sz w:val="28"/>
                <w:szCs w:val="28"/>
              </w:rPr>
              <w:t xml:space="preserve">Neither Menashe </w:t>
            </w:r>
            <w:proofErr w:type="gramStart"/>
            <w:r>
              <w:rPr>
                <w:b/>
                <w:bCs/>
                <w:color w:val="002060"/>
                <w:sz w:val="28"/>
                <w:szCs w:val="28"/>
              </w:rPr>
              <w:t>Nor</w:t>
            </w:r>
            <w:proofErr w:type="gramEnd"/>
            <w:r>
              <w:rPr>
                <w:b/>
                <w:bCs/>
                <w:color w:val="002060"/>
                <w:sz w:val="28"/>
                <w:szCs w:val="28"/>
              </w:rPr>
              <w:t xml:space="preserve"> </w:t>
            </w:r>
            <w:proofErr w:type="spellStart"/>
            <w:r>
              <w:rPr>
                <w:b/>
                <w:bCs/>
                <w:color w:val="002060"/>
                <w:sz w:val="28"/>
                <w:szCs w:val="28"/>
              </w:rPr>
              <w:t>Yerachme’el</w:t>
            </w:r>
            <w:proofErr w:type="spellEnd"/>
            <w:r w:rsidRPr="001834E1">
              <w:rPr>
                <w:color w:val="002060"/>
              </w:rPr>
              <w:t xml:space="preserve"> </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06162921" w14:textId="77777777" w:rsidR="006B5B4D" w:rsidRPr="00D20E00" w:rsidRDefault="006B5B4D" w:rsidP="006B5B4D">
      <w:pPr>
        <w:bidi w:val="0"/>
        <w:ind w:firstLine="426"/>
      </w:pPr>
      <w:bookmarkStart w:id="1" w:name="_Hlk193982934"/>
      <w:r>
        <w:t>Menashe</w:t>
      </w:r>
      <w:r w:rsidRPr="00D20E00">
        <w:t xml:space="preserve">, </w:t>
      </w:r>
      <w:r>
        <w:t>Y</w:t>
      </w:r>
      <w:r w:rsidRPr="00D20E00">
        <w:t>ose</w:t>
      </w:r>
      <w:r>
        <w:t>f’</w:t>
      </w:r>
      <w:r w:rsidRPr="00D20E00">
        <w:t xml:space="preserve">s firstborn, </w:t>
      </w:r>
      <w:r>
        <w:t xml:space="preserve">is mentioned </w:t>
      </w:r>
      <w:r w:rsidRPr="00D20E00">
        <w:t>before his younger brother</w:t>
      </w:r>
      <w:r>
        <w:t>,</w:t>
      </w:r>
      <w:r w:rsidRPr="00D20E00">
        <w:t xml:space="preserve"> </w:t>
      </w:r>
      <w:proofErr w:type="spellStart"/>
      <w:r>
        <w:t>Ephrayim</w:t>
      </w:r>
      <w:proofErr w:type="spellEnd"/>
      <w:r>
        <w:t>,</w:t>
      </w:r>
      <w:r w:rsidRPr="00D20E00">
        <w:t xml:space="preserve"> in the first half of our </w:t>
      </w:r>
      <w:proofErr w:type="spellStart"/>
      <w:r>
        <w:rPr>
          <w:i/>
          <w:iCs/>
        </w:rPr>
        <w:t>parasha</w:t>
      </w:r>
      <w:proofErr w:type="spellEnd"/>
      <w:r>
        <w:rPr>
          <w:i/>
          <w:iCs/>
        </w:rPr>
        <w:t xml:space="preserve"> </w:t>
      </w:r>
      <w:r w:rsidRPr="00D20E00">
        <w:t>(</w:t>
      </w:r>
      <w:proofErr w:type="spellStart"/>
      <w:r>
        <w:t>Bereishit</w:t>
      </w:r>
      <w:proofErr w:type="spellEnd"/>
      <w:r>
        <w:t xml:space="preserve"> </w:t>
      </w:r>
      <w:r w:rsidRPr="00D20E00">
        <w:t xml:space="preserve">46:20; 48:1). In the second half, </w:t>
      </w:r>
      <w:proofErr w:type="spellStart"/>
      <w:r>
        <w:t>Ephrayim</w:t>
      </w:r>
      <w:proofErr w:type="spellEnd"/>
      <w:r w:rsidRPr="00D20E00">
        <w:t xml:space="preserve"> consistently precedes </w:t>
      </w:r>
      <w:r>
        <w:t>Menashe</w:t>
      </w:r>
      <w:r w:rsidRPr="00D20E00">
        <w:t xml:space="preserve"> (48:13, 20). When </w:t>
      </w:r>
      <w:proofErr w:type="spellStart"/>
      <w:r>
        <w:t>Y</w:t>
      </w:r>
      <w:r w:rsidRPr="00D20E00">
        <w:t>a</w:t>
      </w:r>
      <w:r>
        <w:t>’ak</w:t>
      </w:r>
      <w:r w:rsidRPr="00D20E00">
        <w:t>o</w:t>
      </w:r>
      <w:r>
        <w:t>v</w:t>
      </w:r>
      <w:proofErr w:type="spellEnd"/>
      <w:r w:rsidRPr="00D20E00">
        <w:t xml:space="preserve"> blessed </w:t>
      </w:r>
      <w:r>
        <w:t>Y</w:t>
      </w:r>
      <w:r w:rsidRPr="00D20E00">
        <w:t>ose</w:t>
      </w:r>
      <w:r>
        <w:t xml:space="preserve">f’s </w:t>
      </w:r>
      <w:r w:rsidRPr="00D20E00">
        <w:t xml:space="preserve">sons, he placed his right hand on </w:t>
      </w:r>
      <w:proofErr w:type="spellStart"/>
      <w:r>
        <w:t>Ephrayim</w:t>
      </w:r>
      <w:r w:rsidRPr="00D20E00">
        <w:t>'s</w:t>
      </w:r>
      <w:proofErr w:type="spellEnd"/>
      <w:r w:rsidRPr="00D20E00">
        <w:t xml:space="preserve"> head, even as </w:t>
      </w:r>
      <w:r>
        <w:t>Menashe</w:t>
      </w:r>
      <w:r w:rsidRPr="00D20E00">
        <w:t xml:space="preserve"> stood by his grandfather</w:t>
      </w:r>
      <w:r>
        <w:t>’</w:t>
      </w:r>
      <w:r w:rsidRPr="00D20E00">
        <w:t xml:space="preserve">s right side. </w:t>
      </w:r>
      <w:proofErr w:type="spellStart"/>
      <w:r>
        <w:t>Ephrayim</w:t>
      </w:r>
      <w:proofErr w:type="spellEnd"/>
      <w:r w:rsidRPr="00D20E00">
        <w:t xml:space="preserve"> received his inheritance in the </w:t>
      </w:r>
      <w:r>
        <w:t xml:space="preserve">primary section of </w:t>
      </w:r>
      <w:r>
        <w:rPr>
          <w:i/>
          <w:iCs/>
        </w:rPr>
        <w:t>Eretz Yisrael</w:t>
      </w:r>
      <w:r w:rsidRPr="00D20E00">
        <w:t>, w</w:t>
      </w:r>
      <w:r>
        <w:t xml:space="preserve">hereas </w:t>
      </w:r>
      <w:r w:rsidRPr="00D20E00">
        <w:t xml:space="preserve">half of </w:t>
      </w:r>
      <w:r>
        <w:t>Menashe’</w:t>
      </w:r>
      <w:r w:rsidRPr="00D20E00">
        <w:t xml:space="preserve">s tribe was pushed eastward </w:t>
      </w:r>
      <w:r>
        <w:t xml:space="preserve">of </w:t>
      </w:r>
      <w:r w:rsidRPr="00D20E00">
        <w:t>the Jordan. What underlies this process?</w:t>
      </w:r>
    </w:p>
    <w:p w14:paraId="1B347CFB" w14:textId="77777777" w:rsidR="006B5B4D" w:rsidRPr="00D20E00" w:rsidRDefault="006B5B4D" w:rsidP="006B5B4D">
      <w:pPr>
        <w:bidi w:val="0"/>
        <w:ind w:firstLine="426"/>
      </w:pPr>
      <w:r w:rsidRPr="00D20E00">
        <w:t>A</w:t>
      </w:r>
      <w:r>
        <w:t>nother intriguing</w:t>
      </w:r>
      <w:r w:rsidRPr="00D20E00">
        <w:t xml:space="preserve"> pattern occurs with </w:t>
      </w:r>
      <w:r>
        <w:t>Yehuda’</w:t>
      </w:r>
      <w:r w:rsidRPr="00D20E00">
        <w:t xml:space="preserve">s sons. </w:t>
      </w:r>
      <w:proofErr w:type="spellStart"/>
      <w:r w:rsidRPr="00D20E00">
        <w:t>Peretz</w:t>
      </w:r>
      <w:proofErr w:type="spellEnd"/>
      <w:r w:rsidRPr="00D20E00">
        <w:t xml:space="preserve">, </w:t>
      </w:r>
      <w:r>
        <w:t>Yehuda’</w:t>
      </w:r>
      <w:r w:rsidRPr="00D20E00">
        <w:t xml:space="preserve">s firstborn </w:t>
      </w:r>
      <w:r>
        <w:t xml:space="preserve">from </w:t>
      </w:r>
      <w:r w:rsidRPr="00D20E00">
        <w:t xml:space="preserve">Tamar, appears in our </w:t>
      </w:r>
      <w:proofErr w:type="spellStart"/>
      <w:r w:rsidRPr="005A742F">
        <w:rPr>
          <w:i/>
          <w:iCs/>
        </w:rPr>
        <w:t>parasha</w:t>
      </w:r>
      <w:proofErr w:type="spellEnd"/>
      <w:r w:rsidRPr="00D20E00">
        <w:t xml:space="preserve"> among those who descended to Egypt, </w:t>
      </w:r>
      <w:r>
        <w:t xml:space="preserve">along with </w:t>
      </w:r>
      <w:r w:rsidRPr="00D20E00">
        <w:t>his firstborn</w:t>
      </w:r>
      <w:r>
        <w:t>,</w:t>
      </w:r>
      <w:r w:rsidRPr="00D20E00">
        <w:t xml:space="preserve"> </w:t>
      </w:r>
      <w:proofErr w:type="spellStart"/>
      <w:r w:rsidRPr="00D20E00">
        <w:t>Hetzron</w:t>
      </w:r>
      <w:proofErr w:type="spellEnd"/>
      <w:r w:rsidRPr="00D20E00">
        <w:t xml:space="preserve"> (46:12). </w:t>
      </w:r>
      <w:proofErr w:type="spellStart"/>
      <w:r w:rsidRPr="00D20E00">
        <w:t>Peretz</w:t>
      </w:r>
      <w:proofErr w:type="spellEnd"/>
      <w:r w:rsidRPr="00D20E00">
        <w:t xml:space="preserve"> is the </w:t>
      </w:r>
      <w:r>
        <w:t xml:space="preserve">patriarch </w:t>
      </w:r>
      <w:r w:rsidRPr="00D20E00">
        <w:t xml:space="preserve">of the royal dynasty </w:t>
      </w:r>
      <w:r>
        <w:t>(</w:t>
      </w:r>
      <w:r w:rsidRPr="00D20E00">
        <w:rPr>
          <w:i/>
          <w:iCs/>
        </w:rPr>
        <w:t>M</w:t>
      </w:r>
      <w:r w:rsidRPr="005F1595">
        <w:rPr>
          <w:i/>
          <w:iCs/>
        </w:rPr>
        <w:t>ashiach</w:t>
      </w:r>
      <w:r>
        <w:t xml:space="preserve"> </w:t>
      </w:r>
      <w:r w:rsidRPr="00D20E00">
        <w:t xml:space="preserve">is called </w:t>
      </w:r>
      <w:r>
        <w:t>“</w:t>
      </w:r>
      <w:r w:rsidRPr="00D20E00">
        <w:t xml:space="preserve">son of </w:t>
      </w:r>
      <w:proofErr w:type="spellStart"/>
      <w:r w:rsidRPr="00D20E00">
        <w:t>Peretz</w:t>
      </w:r>
      <w:proofErr w:type="spellEnd"/>
      <w:r>
        <w:t>”)</w:t>
      </w:r>
      <w:r w:rsidRPr="00D20E00">
        <w:t xml:space="preserve">. Yet </w:t>
      </w:r>
      <w:proofErr w:type="spellStart"/>
      <w:r>
        <w:t>Divrei</w:t>
      </w:r>
      <w:proofErr w:type="spellEnd"/>
      <w:r>
        <w:t xml:space="preserve"> </w:t>
      </w:r>
      <w:proofErr w:type="spellStart"/>
      <w:r>
        <w:t>Hayamim</w:t>
      </w:r>
      <w:proofErr w:type="spellEnd"/>
      <w:r w:rsidRPr="00D20E00">
        <w:t xml:space="preserve"> reveals a surprise: </w:t>
      </w:r>
      <w:proofErr w:type="spellStart"/>
      <w:r w:rsidRPr="00D20E00">
        <w:t>Hetzron</w:t>
      </w:r>
      <w:proofErr w:type="spellEnd"/>
      <w:r w:rsidRPr="00D20E00">
        <w:t xml:space="preserve"> had three sons—</w:t>
      </w:r>
      <w:proofErr w:type="spellStart"/>
      <w:r>
        <w:t>Yerachme’el</w:t>
      </w:r>
      <w:proofErr w:type="spellEnd"/>
      <w:r w:rsidRPr="00D20E00">
        <w:t xml:space="preserve">, Ram, and </w:t>
      </w:r>
      <w:proofErr w:type="spellStart"/>
      <w:r>
        <w:t>K</w:t>
      </w:r>
      <w:r w:rsidRPr="00D20E00">
        <w:t>lu</w:t>
      </w:r>
      <w:r>
        <w:t>v</w:t>
      </w:r>
      <w:r w:rsidRPr="00D20E00">
        <w:t>ai</w:t>
      </w:r>
      <w:proofErr w:type="spellEnd"/>
      <w:r w:rsidRPr="00D20E00">
        <w:t xml:space="preserve"> (</w:t>
      </w:r>
      <w:r>
        <w:t xml:space="preserve">I, </w:t>
      </w:r>
      <w:r w:rsidRPr="00D20E00">
        <w:t>2:9)</w:t>
      </w:r>
      <w:r>
        <w:t>,</w:t>
      </w:r>
      <w:r w:rsidRPr="00D20E00">
        <w:t xml:space="preserve"> </w:t>
      </w:r>
      <w:r>
        <w:t xml:space="preserve">and </w:t>
      </w:r>
      <w:r w:rsidRPr="00D20E00">
        <w:t xml:space="preserve">David descended from Ram, the second son, not </w:t>
      </w:r>
      <w:proofErr w:type="spellStart"/>
      <w:r>
        <w:t>Yerachme’el</w:t>
      </w:r>
      <w:proofErr w:type="spellEnd"/>
      <w:r w:rsidRPr="00D20E00">
        <w:t xml:space="preserve"> (2:10-15). </w:t>
      </w:r>
      <w:r>
        <w:t xml:space="preserve">Thus, the phenomenon of leadership not coming from the firstborn </w:t>
      </w:r>
      <w:r w:rsidRPr="00D20E00">
        <w:t>occurred in both families.</w:t>
      </w:r>
    </w:p>
    <w:p w14:paraId="47AB602E" w14:textId="77777777" w:rsidR="006B5B4D" w:rsidRPr="00D20E00" w:rsidRDefault="006B5B4D" w:rsidP="006B5B4D">
      <w:pPr>
        <w:bidi w:val="0"/>
        <w:ind w:firstLine="426"/>
      </w:pPr>
      <w:r w:rsidRPr="00D20E00">
        <w:t xml:space="preserve">The struggle for leadership continued into the next generation. </w:t>
      </w:r>
      <w:r>
        <w:t>Menashe</w:t>
      </w:r>
      <w:r w:rsidRPr="00D20E00">
        <w:t xml:space="preserve"> and </w:t>
      </w:r>
      <w:proofErr w:type="spellStart"/>
      <w:r>
        <w:t>Ephrayim</w:t>
      </w:r>
      <w:proofErr w:type="spellEnd"/>
      <w:r w:rsidRPr="00D20E00">
        <w:t xml:space="preserve"> enjoyed </w:t>
      </w:r>
      <w:r>
        <w:t xml:space="preserve">noble </w:t>
      </w:r>
      <w:r w:rsidRPr="00D20E00">
        <w:t xml:space="preserve">status in Egypt through </w:t>
      </w:r>
      <w:r>
        <w:t>Y</w:t>
      </w:r>
      <w:r w:rsidRPr="00D20E00">
        <w:t>ose</w:t>
      </w:r>
      <w:r>
        <w:t>f’</w:t>
      </w:r>
      <w:r w:rsidRPr="00D20E00">
        <w:t xml:space="preserve">s position, while </w:t>
      </w:r>
      <w:r>
        <w:t>Yehuda’</w:t>
      </w:r>
      <w:r w:rsidRPr="00D20E00">
        <w:t>s sons claimed leadership as descendants of the brothers</w:t>
      </w:r>
      <w:r>
        <w:t>’</w:t>
      </w:r>
      <w:r w:rsidRPr="00D20E00">
        <w:t xml:space="preserve"> leader who took responsibility for Benjamin. Both claimants</w:t>
      </w:r>
      <w:r>
        <w:t>’</w:t>
      </w:r>
      <w:r w:rsidRPr="00D20E00">
        <w:t xml:space="preserve"> status</w:t>
      </w:r>
      <w:r>
        <w:t>es</w:t>
      </w:r>
      <w:r w:rsidRPr="00D20E00">
        <w:t xml:space="preserve"> w</w:t>
      </w:r>
      <w:r>
        <w:t xml:space="preserve">ere </w:t>
      </w:r>
      <w:r w:rsidRPr="00D20E00">
        <w:t>influenced by their wives</w:t>
      </w:r>
      <w:r>
        <w:t>’</w:t>
      </w:r>
      <w:r w:rsidRPr="00D20E00">
        <w:t xml:space="preserve"> identities, as marriage </w:t>
      </w:r>
      <w:r>
        <w:t xml:space="preserve">often was a tool in the pursuit of </w:t>
      </w:r>
      <w:r w:rsidRPr="00D20E00">
        <w:t>status.</w:t>
      </w:r>
    </w:p>
    <w:p w14:paraId="1495AAFE" w14:textId="77777777" w:rsidR="006B5B4D" w:rsidRPr="00D20E00" w:rsidRDefault="006B5B4D" w:rsidP="006B5B4D">
      <w:pPr>
        <w:bidi w:val="0"/>
        <w:ind w:firstLine="426"/>
      </w:pPr>
      <w:proofErr w:type="spellStart"/>
      <w:r>
        <w:t>Divrei</w:t>
      </w:r>
      <w:proofErr w:type="spellEnd"/>
      <w:r>
        <w:t xml:space="preserve"> </w:t>
      </w:r>
      <w:proofErr w:type="spellStart"/>
      <w:r>
        <w:t>Hayamim</w:t>
      </w:r>
      <w:proofErr w:type="spellEnd"/>
      <w:r w:rsidRPr="00D20E00">
        <w:t xml:space="preserve"> reveals </w:t>
      </w:r>
      <w:r>
        <w:t xml:space="preserve">that Menashe </w:t>
      </w:r>
      <w:r w:rsidRPr="00D20E00">
        <w:t>had two wives</w:t>
      </w:r>
      <w:r>
        <w:t>.</w:t>
      </w:r>
      <w:r w:rsidRPr="00D20E00">
        <w:t xml:space="preserve"> </w:t>
      </w:r>
      <w:r>
        <w:t xml:space="preserve">According to the </w:t>
      </w:r>
      <w:proofErr w:type="spellStart"/>
      <w:r>
        <w:t>Metzudot’s</w:t>
      </w:r>
      <w:proofErr w:type="spellEnd"/>
      <w:r>
        <w:t xml:space="preserve"> explanation of a cryptic </w:t>
      </w:r>
      <w:proofErr w:type="spellStart"/>
      <w:r>
        <w:rPr>
          <w:i/>
          <w:iCs/>
        </w:rPr>
        <w:t>pasuk</w:t>
      </w:r>
      <w:proofErr w:type="spellEnd"/>
      <w:r>
        <w:rPr>
          <w:i/>
          <w:iCs/>
        </w:rPr>
        <w:t xml:space="preserve"> </w:t>
      </w:r>
      <w:r w:rsidRPr="00D20E00">
        <w:t>(</w:t>
      </w:r>
      <w:r>
        <w:t xml:space="preserve">I, </w:t>
      </w:r>
      <w:r w:rsidRPr="00D20E00">
        <w:t>7:14)</w:t>
      </w:r>
      <w:r>
        <w:t>, Menashe</w:t>
      </w:r>
      <w:r w:rsidRPr="00D20E00">
        <w:t xml:space="preserve"> married a </w:t>
      </w:r>
      <w:r>
        <w:t xml:space="preserve">proper Jewish </w:t>
      </w:r>
      <w:r w:rsidRPr="00D20E00">
        <w:t>woman</w:t>
      </w:r>
      <w:r>
        <w:t xml:space="preserve"> but</w:t>
      </w:r>
      <w:r w:rsidRPr="00D20E00">
        <w:t xml:space="preserve"> then took an Aramean concubine during a </w:t>
      </w:r>
      <w:r>
        <w:t xml:space="preserve">war of </w:t>
      </w:r>
      <w:r w:rsidRPr="00D20E00">
        <w:t xml:space="preserve">conquest. </w:t>
      </w:r>
      <w:r>
        <w:t xml:space="preserve">As </w:t>
      </w:r>
      <w:r w:rsidRPr="00D20E00">
        <w:t>taking a concubine</w:t>
      </w:r>
      <w:r>
        <w:t xml:space="preserve"> is proper </w:t>
      </w:r>
      <w:r w:rsidRPr="00D20E00">
        <w:t xml:space="preserve">only </w:t>
      </w:r>
      <w:r>
        <w:t xml:space="preserve">for </w:t>
      </w:r>
      <w:r w:rsidRPr="00D20E00">
        <w:t>kings</w:t>
      </w:r>
      <w:r>
        <w:t xml:space="preserve"> (Rambam, Melachim 4:4), </w:t>
      </w:r>
      <w:r w:rsidRPr="00D20E00">
        <w:t xml:space="preserve">he declared himself </w:t>
      </w:r>
      <w:r>
        <w:t xml:space="preserve">a king </w:t>
      </w:r>
      <w:r w:rsidRPr="00D20E00">
        <w:t>and created international diplomatic ties with Aramean</w:t>
      </w:r>
      <w:r>
        <w:t>s</w:t>
      </w:r>
      <w:r w:rsidRPr="00D20E00">
        <w:t xml:space="preserve">. This marriage to a foreign princess for political purposes disqualified him from leadership and firstborn status. However, since he also married a </w:t>
      </w:r>
      <w:r>
        <w:t xml:space="preserve">proper </w:t>
      </w:r>
      <w:r w:rsidRPr="00D20E00">
        <w:t>woman, he lost his status only partially</w:t>
      </w:r>
      <w:r>
        <w:t xml:space="preserve">, and her descendants </w:t>
      </w:r>
      <w:r w:rsidRPr="00D20E00">
        <w:t xml:space="preserve">received inheritance in </w:t>
      </w:r>
      <w:r>
        <w:rPr>
          <w:i/>
          <w:iCs/>
        </w:rPr>
        <w:t xml:space="preserve">Eretz Yisrael </w:t>
      </w:r>
      <w:r>
        <w:t>proper. T</w:t>
      </w:r>
      <w:r w:rsidRPr="00D20E00">
        <w:t xml:space="preserve">hose from his Aramean concubine were pushed east </w:t>
      </w:r>
      <w:r>
        <w:t xml:space="preserve">of the </w:t>
      </w:r>
      <w:r w:rsidRPr="00D20E00">
        <w:t>Jordan.</w:t>
      </w:r>
    </w:p>
    <w:p w14:paraId="4CCD836D" w14:textId="77777777" w:rsidR="006B5B4D" w:rsidRPr="00D20E00" w:rsidRDefault="006B5B4D" w:rsidP="006B5B4D">
      <w:pPr>
        <w:bidi w:val="0"/>
        <w:ind w:firstLine="426"/>
      </w:pPr>
      <w:r w:rsidRPr="00D20E00">
        <w:t xml:space="preserve">Similar events occurred in </w:t>
      </w:r>
      <w:r>
        <w:t>Yehuda’</w:t>
      </w:r>
      <w:r w:rsidRPr="00D20E00">
        <w:t xml:space="preserve">s family: </w:t>
      </w:r>
      <w:r>
        <w:t>“</w:t>
      </w:r>
      <w:proofErr w:type="spellStart"/>
      <w:r>
        <w:t>Yerachme’el</w:t>
      </w:r>
      <w:proofErr w:type="spellEnd"/>
      <w:r w:rsidRPr="00D20E00">
        <w:t xml:space="preserve"> had another wife, and her name was </w:t>
      </w:r>
      <w:proofErr w:type="spellStart"/>
      <w:r w:rsidRPr="00D20E00">
        <w:t>Atara</w:t>
      </w:r>
      <w:proofErr w:type="spellEnd"/>
      <w:r w:rsidRPr="00D20E00">
        <w:t xml:space="preserve">; she </w:t>
      </w:r>
      <w:r>
        <w:t>was</w:t>
      </w:r>
      <w:r w:rsidRPr="00D20E00">
        <w:t xml:space="preserve"> the mother of Onam</w:t>
      </w:r>
      <w:r>
        <w:t>”</w:t>
      </w:r>
      <w:r w:rsidRPr="00D20E00">
        <w:t xml:space="preserve"> (</w:t>
      </w:r>
      <w:proofErr w:type="spellStart"/>
      <w:r>
        <w:t>Divrei</w:t>
      </w:r>
      <w:proofErr w:type="spellEnd"/>
      <w:r>
        <w:t xml:space="preserve"> </w:t>
      </w:r>
      <w:proofErr w:type="spellStart"/>
      <w:r>
        <w:t>Hayamim</w:t>
      </w:r>
      <w:proofErr w:type="spellEnd"/>
      <w:r w:rsidRPr="00D20E00">
        <w:t xml:space="preserve"> I 2:26). The term </w:t>
      </w:r>
      <w:r>
        <w:t>“</w:t>
      </w:r>
      <w:r w:rsidRPr="00D20E00">
        <w:t>another wife</w:t>
      </w:r>
      <w:r>
        <w:t>”</w:t>
      </w:r>
      <w:r w:rsidRPr="00D20E00">
        <w:t xml:space="preserve"> hints at a serious problem, </w:t>
      </w:r>
      <w:r>
        <w:t xml:space="preserve">resembling the </w:t>
      </w:r>
      <w:proofErr w:type="spellStart"/>
      <w:r>
        <w:rPr>
          <w:i/>
          <w:iCs/>
        </w:rPr>
        <w:t>navi</w:t>
      </w:r>
      <w:r w:rsidRPr="0071167E">
        <w:t>’s</w:t>
      </w:r>
      <w:proofErr w:type="spellEnd"/>
      <w:r>
        <w:rPr>
          <w:i/>
          <w:iCs/>
        </w:rPr>
        <w:t xml:space="preserve"> </w:t>
      </w:r>
      <w:r w:rsidRPr="00D20E00">
        <w:t xml:space="preserve">use </w:t>
      </w:r>
      <w:r>
        <w:t xml:space="preserve">of </w:t>
      </w:r>
      <w:r w:rsidRPr="00D20E00">
        <w:t xml:space="preserve">this phrase </w:t>
      </w:r>
      <w:r>
        <w:t xml:space="preserve">regarding </w:t>
      </w:r>
      <w:proofErr w:type="spellStart"/>
      <w:r>
        <w:t>Yif</w:t>
      </w:r>
      <w:r w:rsidRPr="00D20E00">
        <w:t>ta</w:t>
      </w:r>
      <w:r>
        <w:t>c</w:t>
      </w:r>
      <w:r w:rsidRPr="00D20E00">
        <w:t>h</w:t>
      </w:r>
      <w:r>
        <w:t>’s</w:t>
      </w:r>
      <w:proofErr w:type="spellEnd"/>
      <w:r w:rsidRPr="00D20E00">
        <w:t xml:space="preserve"> mother (</w:t>
      </w:r>
      <w:proofErr w:type="spellStart"/>
      <w:r>
        <w:t>Shoftim</w:t>
      </w:r>
      <w:proofErr w:type="spellEnd"/>
      <w:r w:rsidRPr="00D20E00">
        <w:t xml:space="preserve"> 11:2). According to the </w:t>
      </w:r>
      <w:proofErr w:type="spellStart"/>
      <w:r w:rsidRPr="00D20E00">
        <w:t>Yerushalmi</w:t>
      </w:r>
      <w:proofErr w:type="spellEnd"/>
      <w:r>
        <w:t xml:space="preserve"> (Sanhedrin 2:3)</w:t>
      </w:r>
      <w:r w:rsidRPr="00D20E00">
        <w:t xml:space="preserve">, </w:t>
      </w:r>
      <w:proofErr w:type="spellStart"/>
      <w:r>
        <w:t>Yerachme’el</w:t>
      </w:r>
      <w:proofErr w:type="spellEnd"/>
      <w:r w:rsidRPr="00D20E00">
        <w:t xml:space="preserve"> married a </w:t>
      </w:r>
      <w:r>
        <w:t xml:space="preserve">non-Jewish </w:t>
      </w:r>
      <w:r w:rsidRPr="00D20E00">
        <w:t xml:space="preserve">woman to adorn himself with her crown. </w:t>
      </w:r>
      <w:proofErr w:type="spellStart"/>
      <w:r w:rsidRPr="00D20E00">
        <w:t>Atara</w:t>
      </w:r>
      <w:proofErr w:type="spellEnd"/>
      <w:r w:rsidRPr="00D20E00">
        <w:t xml:space="preserve"> was a high-ranking Egyptian princess. </w:t>
      </w:r>
      <w:proofErr w:type="spellStart"/>
      <w:r>
        <w:t>Yerachme’el</w:t>
      </w:r>
      <w:proofErr w:type="spellEnd"/>
      <w:r w:rsidRPr="00D20E00">
        <w:t xml:space="preserve"> thought this marriage would secure his status</w:t>
      </w:r>
      <w:r>
        <w:t xml:space="preserve"> of nobility</w:t>
      </w:r>
      <w:r w:rsidRPr="00D20E00">
        <w:t xml:space="preserve">, but the result was the opposite, as with </w:t>
      </w:r>
      <w:r>
        <w:t>Menashe’</w:t>
      </w:r>
      <w:r w:rsidRPr="00D20E00">
        <w:t>s concubine.</w:t>
      </w:r>
    </w:p>
    <w:p w14:paraId="0337CC6F" w14:textId="77777777" w:rsidR="006B5B4D" w:rsidRPr="00D20E00" w:rsidRDefault="006B5B4D" w:rsidP="006B5B4D">
      <w:pPr>
        <w:bidi w:val="0"/>
        <w:ind w:firstLine="426"/>
      </w:pPr>
      <w:r w:rsidRPr="00D20E00">
        <w:t>These episodes teach th</w:t>
      </w:r>
      <w:r>
        <w:t xml:space="preserve">at moral missteps </w:t>
      </w:r>
      <w:r w:rsidRPr="00D20E00">
        <w:t xml:space="preserve">disqualify one from leadership. Both cases occurred before the giving of the Torah, yet the consequences were harsh. </w:t>
      </w:r>
      <w:r>
        <w:t xml:space="preserve">Since </w:t>
      </w:r>
      <w:r w:rsidRPr="00D20E00">
        <w:t>the Torah</w:t>
      </w:r>
      <w:r>
        <w:t xml:space="preserve"> was given</w:t>
      </w:r>
      <w:r w:rsidRPr="00D20E00">
        <w:t xml:space="preserve">, </w:t>
      </w:r>
      <w:r>
        <w:t>“</w:t>
      </w:r>
      <w:r w:rsidRPr="00D20E00">
        <w:t>marriage</w:t>
      </w:r>
      <w:r>
        <w:t>”</w:t>
      </w:r>
      <w:r w:rsidRPr="00D20E00">
        <w:t xml:space="preserve"> with a non-Jew </w:t>
      </w:r>
      <w:r>
        <w:t xml:space="preserve">is strictly forbidden. Additionally, the </w:t>
      </w:r>
      <w:r w:rsidRPr="00D20E00">
        <w:t xml:space="preserve">children of a Jewish man and non-Jewish woman are not Jewish and can only enter the Jewish covenant through full conversion. </w:t>
      </w:r>
      <w:r>
        <w:t>E</w:t>
      </w:r>
      <w:r w:rsidRPr="00D20E00">
        <w:t>ven when the mother is Jewish and the father is not, assimilation almost certainly occurs quickly.</w:t>
      </w:r>
    </w:p>
    <w:p w14:paraId="75CFBF33" w14:textId="12E21396" w:rsidR="00111970" w:rsidRPr="00F62999" w:rsidRDefault="00111970" w:rsidP="00111970">
      <w:pPr>
        <w:bidi w:val="0"/>
        <w:ind w:firstLine="426"/>
      </w:pP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1C00AED8" w:rsidR="00F17B4E" w:rsidRDefault="00E809CB" w:rsidP="00133962">
            <w:pPr>
              <w:bidi w:val="0"/>
              <w:spacing w:line="360" w:lineRule="auto"/>
              <w:jc w:val="center"/>
              <w:rPr>
                <w:b/>
                <w:bCs/>
                <w:sz w:val="18"/>
                <w:szCs w:val="18"/>
                <w:u w:val="single"/>
              </w:rPr>
            </w:pPr>
            <w:bookmarkStart w:id="2" w:name="_Hlk173845240"/>
            <w:bookmarkEnd w:id="1"/>
            <w:r>
              <w:rPr>
                <w:noProof/>
              </w:rPr>
              <w:drawing>
                <wp:anchor distT="0" distB="0" distL="114300" distR="114300" simplePos="0" relativeHeight="251658752" behindDoc="1" locked="0" layoutInCell="1" allowOverlap="1" wp14:anchorId="650FB05C" wp14:editId="5303F50B">
                  <wp:simplePos x="0" y="0"/>
                  <wp:positionH relativeFrom="margin">
                    <wp:posOffset>-139700</wp:posOffset>
                  </wp:positionH>
                  <wp:positionV relativeFrom="paragraph">
                    <wp:posOffset>-262890</wp:posOffset>
                  </wp:positionV>
                  <wp:extent cx="7498080" cy="35115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51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 xml:space="preserve">&amp; </w:t>
            </w:r>
            <w:proofErr w:type="spellStart"/>
            <w:r w:rsidR="009F2867">
              <w:rPr>
                <w:b/>
                <w:bCs/>
                <w:sz w:val="16"/>
                <w:szCs w:val="16"/>
              </w:rPr>
              <w:t>Shlomit</w:t>
            </w:r>
            <w:proofErr w:type="spellEnd"/>
            <w:r w:rsidR="009F2867">
              <w:rPr>
                <w:b/>
                <w:bCs/>
                <w:sz w:val="16"/>
                <w:szCs w:val="16"/>
              </w:rPr>
              <w:t xml:space="preserve"> </w:t>
            </w:r>
            <w:proofErr w:type="spellStart"/>
            <w:r w:rsidR="009F2867">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05"/>
            </w:tblGrid>
            <w:tr w:rsidR="00827FEA" w:rsidRPr="00DB58A7" w14:paraId="45CF8141" w14:textId="77777777" w:rsidTr="00C014F8">
              <w:tc>
                <w:tcPr>
                  <w:tcW w:w="5605" w:type="dxa"/>
                  <w:tcBorders>
                    <w:top w:val="single" w:sz="4" w:space="0" w:color="auto"/>
                    <w:bottom w:val="single" w:sz="4" w:space="0" w:color="auto"/>
                  </w:tcBorders>
                </w:tcPr>
                <w:p w14:paraId="6B40A094" w14:textId="77777777" w:rsidR="00E809CB" w:rsidRPr="00DB58A7" w:rsidRDefault="00E809CB" w:rsidP="00E809CB">
                  <w:pPr>
                    <w:framePr w:hSpace="162" w:wrap="around" w:vAnchor="text" w:hAnchor="margin" w:xAlign="center" w:y="361"/>
                    <w:tabs>
                      <w:tab w:val="left" w:pos="743"/>
                    </w:tabs>
                    <w:bidi w:val="0"/>
                    <w:ind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4BBFDC1E" w14:textId="77777777" w:rsidR="00827FEA" w:rsidRPr="00DB58A7" w:rsidRDefault="00E809CB" w:rsidP="00E809CB">
                  <w:pPr>
                    <w:framePr w:hSpace="162" w:wrap="around" w:vAnchor="text" w:hAnchor="margin" w:xAlign="center" w:y="361"/>
                    <w:bidi w:val="0"/>
                    <w:ind w:right="57"/>
                    <w:jc w:val="center"/>
                    <w:rPr>
                      <w:sz w:val="17"/>
                      <w:szCs w:val="17"/>
                    </w:rPr>
                  </w:pPr>
                  <w:r w:rsidRPr="00DB58A7">
                    <w:rPr>
                      <w:rFonts w:cs="Miriam"/>
                      <w:sz w:val="16"/>
                      <w:szCs w:val="16"/>
                      <w:lang w:eastAsia="he-IL"/>
                    </w:rPr>
                    <w:t>Elul 5, 5782 / Elul 23, 5774</w:t>
                  </w:r>
                </w:p>
              </w:tc>
              <w:tc>
                <w:tcPr>
                  <w:tcW w:w="5605" w:type="dxa"/>
                  <w:tcBorders>
                    <w:top w:val="single" w:sz="4" w:space="0" w:color="auto"/>
                    <w:bottom w:val="single" w:sz="4" w:space="0" w:color="auto"/>
                  </w:tcBorders>
                </w:tcPr>
                <w:p w14:paraId="0A1D0D26" w14:textId="77777777" w:rsidR="006B5B4D" w:rsidRPr="006B5B4D" w:rsidRDefault="006B5B4D" w:rsidP="006B5B4D">
                  <w:pPr>
                    <w:jc w:val="center"/>
                    <w:rPr>
                      <w:sz w:val="16"/>
                      <w:szCs w:val="16"/>
                    </w:rPr>
                  </w:pPr>
                  <w:r w:rsidRPr="006B5B4D">
                    <w:rPr>
                      <w:sz w:val="16"/>
                      <w:szCs w:val="16"/>
                    </w:rPr>
                    <w:t>Mrs</w:t>
                  </w:r>
                  <w:r w:rsidRPr="006B5B4D">
                    <w:rPr>
                      <w:b/>
                      <w:bCs/>
                      <w:sz w:val="16"/>
                      <w:szCs w:val="16"/>
                    </w:rPr>
                    <w:t xml:space="preserve">. Shirley </w:t>
                  </w:r>
                  <w:proofErr w:type="spellStart"/>
                  <w:r w:rsidRPr="006B5B4D">
                    <w:rPr>
                      <w:b/>
                      <w:bCs/>
                      <w:sz w:val="16"/>
                      <w:szCs w:val="16"/>
                    </w:rPr>
                    <w:t>Rothner</w:t>
                  </w:r>
                  <w:proofErr w:type="spellEnd"/>
                  <w:r w:rsidRPr="006B5B4D">
                    <w:rPr>
                      <w:b/>
                      <w:bCs/>
                      <w:sz w:val="16"/>
                      <w:szCs w:val="16"/>
                    </w:rPr>
                    <w:t xml:space="preserve">, </w:t>
                  </w:r>
                </w:p>
                <w:p w14:paraId="1A6C3F92" w14:textId="178E10CC" w:rsidR="00827FEA" w:rsidRPr="002E2411" w:rsidRDefault="006B5B4D" w:rsidP="006B5B4D">
                  <w:pPr>
                    <w:jc w:val="center"/>
                    <w:rPr>
                      <w:sz w:val="16"/>
                      <w:szCs w:val="16"/>
                    </w:rPr>
                  </w:pPr>
                  <w:r w:rsidRPr="006B5B4D">
                    <w:rPr>
                      <w:sz w:val="16"/>
                      <w:szCs w:val="16"/>
                    </w:rPr>
                    <w:t xml:space="preserve">Sara Rivka bat Yaakov </w:t>
                  </w:r>
                  <w:proofErr w:type="spellStart"/>
                  <w:r w:rsidRPr="006B5B4D">
                    <w:rPr>
                      <w:sz w:val="16"/>
                      <w:szCs w:val="16"/>
                    </w:rPr>
                    <w:t>Tzvi</w:t>
                  </w:r>
                  <w:proofErr w:type="spellEnd"/>
                  <w:r w:rsidRPr="006B5B4D">
                    <w:rPr>
                      <w:sz w:val="16"/>
                      <w:szCs w:val="16"/>
                    </w:rPr>
                    <w:t xml:space="preserve"> </w:t>
                  </w:r>
                  <w:proofErr w:type="spellStart"/>
                  <w:r w:rsidRPr="006B5B4D">
                    <w:rPr>
                      <w:sz w:val="16"/>
                      <w:szCs w:val="16"/>
                    </w:rPr>
                    <w:t>HaCohen</w:t>
                  </w:r>
                  <w:proofErr w:type="spellEnd"/>
                  <w:r w:rsidRPr="006B5B4D">
                    <w:rPr>
                      <w:sz w:val="16"/>
                      <w:szCs w:val="16"/>
                    </w:rPr>
                    <w:t xml:space="preserve"> </w:t>
                  </w:r>
                  <w:proofErr w:type="spellStart"/>
                  <w:proofErr w:type="gramStart"/>
                  <w:r w:rsidRPr="006B5B4D">
                    <w:rPr>
                      <w:sz w:val="16"/>
                      <w:szCs w:val="16"/>
                    </w:rPr>
                    <w:t>z”l</w:t>
                  </w:r>
                  <w:proofErr w:type="spellEnd"/>
                  <w:proofErr w:type="gramEnd"/>
                  <w:r w:rsidRPr="006B5B4D">
                    <w:rPr>
                      <w:sz w:val="16"/>
                      <w:szCs w:val="16"/>
                    </w:rPr>
                    <w:t xml:space="preserve"> Tevet 15 5768</w:t>
                  </w:r>
                </w:p>
              </w:tc>
            </w:tr>
          </w:tbl>
          <w:p w14:paraId="11722EB6" w14:textId="77777777" w:rsidR="002E2411" w:rsidRPr="00DB58A7" w:rsidRDefault="002E2411" w:rsidP="002E2411">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68756046" w14:textId="6DBBF649" w:rsidR="00516A08" w:rsidRPr="00133962" w:rsidRDefault="002E2411" w:rsidP="002E2411">
            <w:pPr>
              <w:bidi w:val="0"/>
              <w:ind w:left="34"/>
              <w:contextualSpacing/>
              <w:jc w:val="center"/>
              <w:rPr>
                <w:sz w:val="19"/>
                <w:szCs w:val="19"/>
                <w:rtl/>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34D2F4A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p w14:paraId="3F4BDB08" w14:textId="57C6A5F7" w:rsidR="00034F59" w:rsidRDefault="00034F59" w:rsidP="00F304BA">
      <w:pPr>
        <w:bidi w:val="0"/>
        <w:ind w:firstLine="426"/>
        <w:jc w:val="center"/>
      </w:pPr>
      <w:bookmarkStart w:id="3" w:name="_Hlk174962969"/>
      <w:bookmarkEnd w:id="3"/>
      <w:bookmarkEnd w:id="2"/>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335012E8" w14:textId="57A78C4F" w:rsidR="007C686D" w:rsidRDefault="006B5B4D" w:rsidP="006B5B4D">
      <w:pPr>
        <w:tabs>
          <w:tab w:val="left" w:pos="1803"/>
        </w:tabs>
        <w:bidi w:val="0"/>
      </w:pPr>
      <w:r>
        <w:rPr>
          <w:noProof/>
        </w:rPr>
        <w:drawing>
          <wp:anchor distT="0" distB="0" distL="114300" distR="114300" simplePos="0" relativeHeight="251665920" behindDoc="1" locked="1" layoutInCell="1" allowOverlap="1" wp14:anchorId="51BE97ED" wp14:editId="4A84E2EE">
            <wp:simplePos x="0" y="0"/>
            <wp:positionH relativeFrom="margin">
              <wp:posOffset>1862455</wp:posOffset>
            </wp:positionH>
            <wp:positionV relativeFrom="page">
              <wp:posOffset>10191750</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624A7B50" w14:textId="77777777" w:rsidR="007C686D" w:rsidRDefault="007C686D" w:rsidP="007C686D">
      <w:pPr>
        <w:tabs>
          <w:tab w:val="left" w:pos="1803"/>
        </w:tabs>
        <w:bidi w:val="0"/>
      </w:pPr>
    </w:p>
    <w:p w14:paraId="112601E3" w14:textId="77777777" w:rsidR="007C686D" w:rsidRDefault="007C686D" w:rsidP="007C686D">
      <w:pPr>
        <w:tabs>
          <w:tab w:val="left" w:pos="1803"/>
        </w:tabs>
        <w:bidi w:val="0"/>
      </w:pPr>
    </w:p>
    <w:p w14:paraId="2F432F16" w14:textId="77777777" w:rsidR="007C686D" w:rsidRDefault="007C686D" w:rsidP="007C686D">
      <w:pPr>
        <w:tabs>
          <w:tab w:val="left" w:pos="1803"/>
        </w:tabs>
        <w:bidi w:val="0"/>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45587E97" w14:textId="77777777" w:rsidR="004F68DA" w:rsidRPr="00D57823" w:rsidRDefault="004F68DA" w:rsidP="004F68DA">
      <w:pPr>
        <w:bidi w:val="0"/>
        <w:rPr>
          <w:b/>
          <w:bCs/>
          <w:i/>
          <w:iCs/>
        </w:rPr>
      </w:pPr>
      <w:bookmarkStart w:id="4" w:name="_Hlk214748377"/>
      <w:proofErr w:type="spellStart"/>
      <w:r>
        <w:rPr>
          <w:b/>
          <w:bCs/>
          <w:i/>
          <w:iCs/>
          <w:color w:val="D85640"/>
          <w:sz w:val="28"/>
          <w:szCs w:val="28"/>
        </w:rPr>
        <w:t>Beracha</w:t>
      </w:r>
      <w:proofErr w:type="spellEnd"/>
      <w:r>
        <w:rPr>
          <w:b/>
          <w:bCs/>
          <w:i/>
          <w:iCs/>
          <w:color w:val="D85640"/>
          <w:sz w:val="28"/>
          <w:szCs w:val="28"/>
        </w:rPr>
        <w:t xml:space="preserve"> </w:t>
      </w:r>
      <w:proofErr w:type="spellStart"/>
      <w:r>
        <w:rPr>
          <w:b/>
          <w:bCs/>
          <w:i/>
          <w:iCs/>
          <w:color w:val="D85640"/>
          <w:sz w:val="28"/>
          <w:szCs w:val="28"/>
        </w:rPr>
        <w:t>Acharona</w:t>
      </w:r>
      <w:proofErr w:type="spellEnd"/>
      <w:r>
        <w:rPr>
          <w:b/>
          <w:bCs/>
          <w:color w:val="D85640"/>
          <w:sz w:val="28"/>
          <w:szCs w:val="28"/>
        </w:rPr>
        <w:t xml:space="preserve"> on Cake</w:t>
      </w:r>
      <w:r w:rsidRPr="00D57823">
        <w:rPr>
          <w:b/>
          <w:bCs/>
          <w:i/>
          <w:iCs/>
          <w:color w:val="D85640"/>
          <w:sz w:val="28"/>
          <w:szCs w:val="28"/>
        </w:rPr>
        <w:t xml:space="preserve"> </w:t>
      </w:r>
    </w:p>
    <w:p w14:paraId="6EFD3202" w14:textId="77777777" w:rsidR="004F68DA" w:rsidRPr="002822FD" w:rsidRDefault="004F68DA" w:rsidP="004F68DA">
      <w:pPr>
        <w:bidi w:val="0"/>
        <w:rPr>
          <w:b/>
          <w:bCs/>
          <w:color w:val="D85640"/>
        </w:rPr>
      </w:pPr>
    </w:p>
    <w:p w14:paraId="027457B0" w14:textId="77777777" w:rsidR="004F68DA" w:rsidRPr="003D543B" w:rsidRDefault="004F68DA" w:rsidP="004F68DA">
      <w:pPr>
        <w:shd w:val="clear" w:color="auto" w:fill="FFFFFF"/>
        <w:bidi w:val="0"/>
        <w:rPr>
          <w:color w:val="222222"/>
        </w:rPr>
      </w:pPr>
      <w:r w:rsidRPr="004F68DA">
        <w:rPr>
          <w:b/>
          <w:bCs/>
          <w:color w:val="D85640"/>
          <w:sz w:val="24"/>
          <w:szCs w:val="24"/>
          <w:u w:val="single"/>
        </w:rPr>
        <w:t>Question</w:t>
      </w:r>
      <w:r w:rsidRPr="004F68DA">
        <w:rPr>
          <w:b/>
          <w:bCs/>
          <w:color w:val="D85640"/>
          <w:sz w:val="24"/>
          <w:szCs w:val="24"/>
        </w:rPr>
        <w:t>:</w:t>
      </w:r>
      <w:r w:rsidRPr="004F68DA">
        <w:rPr>
          <w:sz w:val="24"/>
          <w:szCs w:val="24"/>
        </w:rPr>
        <w:t xml:space="preserve"> </w:t>
      </w:r>
      <w:r>
        <w:rPr>
          <w:color w:val="222222"/>
          <w:shd w:val="clear" w:color="auto" w:fill="FFFFFF"/>
        </w:rPr>
        <w:t xml:space="preserve">How much cake, which has many ingredients besides flour, must I eat in order to make a </w:t>
      </w:r>
      <w:proofErr w:type="spellStart"/>
      <w:r>
        <w:rPr>
          <w:i/>
          <w:iCs/>
          <w:color w:val="222222"/>
          <w:shd w:val="clear" w:color="auto" w:fill="FFFFFF"/>
        </w:rPr>
        <w:t>beracha</w:t>
      </w:r>
      <w:proofErr w:type="spellEnd"/>
      <w:r>
        <w:rPr>
          <w:i/>
          <w:iCs/>
          <w:color w:val="222222"/>
          <w:shd w:val="clear" w:color="auto" w:fill="FFFFFF"/>
        </w:rPr>
        <w:t xml:space="preserve"> </w:t>
      </w:r>
      <w:proofErr w:type="spellStart"/>
      <w:r>
        <w:rPr>
          <w:i/>
          <w:iCs/>
          <w:color w:val="222222"/>
          <w:shd w:val="clear" w:color="auto" w:fill="FFFFFF"/>
        </w:rPr>
        <w:t>acharona</w:t>
      </w:r>
      <w:proofErr w:type="spellEnd"/>
      <w:r>
        <w:rPr>
          <w:color w:val="222222"/>
          <w:shd w:val="clear" w:color="auto" w:fill="FFFFFF"/>
        </w:rPr>
        <w:t xml:space="preserve"> </w:t>
      </w:r>
      <w:r>
        <w:t>(=</w:t>
      </w:r>
      <w:proofErr w:type="spellStart"/>
      <w:r>
        <w:rPr>
          <w:i/>
          <w:iCs/>
        </w:rPr>
        <w:t>ba</w:t>
      </w:r>
      <w:proofErr w:type="spellEnd"/>
      <w:r>
        <w:t>)</w:t>
      </w:r>
      <w:r>
        <w:rPr>
          <w:color w:val="222222"/>
          <w:shd w:val="clear" w:color="auto" w:fill="FFFFFF"/>
        </w:rPr>
        <w:t>?</w:t>
      </w:r>
    </w:p>
    <w:bookmarkEnd w:id="4"/>
    <w:p w14:paraId="4454B036" w14:textId="77777777" w:rsidR="004F68DA" w:rsidRPr="002C1B93" w:rsidRDefault="004F68DA" w:rsidP="004F68DA">
      <w:pPr>
        <w:bidi w:val="0"/>
      </w:pPr>
    </w:p>
    <w:p w14:paraId="7FF8E713" w14:textId="77777777" w:rsidR="004F68DA" w:rsidRDefault="004F68DA" w:rsidP="004F68DA">
      <w:pPr>
        <w:bidi w:val="0"/>
        <w:ind w:right="26"/>
      </w:pPr>
      <w:r w:rsidRPr="004F68DA">
        <w:rPr>
          <w:b/>
          <w:bCs/>
          <w:color w:val="D85640"/>
          <w:sz w:val="24"/>
          <w:szCs w:val="24"/>
          <w:u w:val="single"/>
        </w:rPr>
        <w:t>Answer</w:t>
      </w:r>
      <w:r w:rsidRPr="004F68DA">
        <w:rPr>
          <w:b/>
          <w:bCs/>
          <w:color w:val="D85640"/>
          <w:sz w:val="24"/>
          <w:szCs w:val="24"/>
        </w:rPr>
        <w:t>:</w:t>
      </w:r>
      <w:r w:rsidRPr="004F68DA">
        <w:rPr>
          <w:sz w:val="24"/>
          <w:szCs w:val="24"/>
        </w:rPr>
        <w:t xml:space="preserve"> </w:t>
      </w:r>
      <w:r>
        <w:t xml:space="preserve">While any amount of food requires a </w:t>
      </w:r>
      <w:proofErr w:type="spellStart"/>
      <w:r>
        <w:rPr>
          <w:i/>
          <w:iCs/>
        </w:rPr>
        <w:t>beracha</w:t>
      </w:r>
      <w:proofErr w:type="spellEnd"/>
      <w:r>
        <w:rPr>
          <w:i/>
          <w:iCs/>
        </w:rPr>
        <w:t xml:space="preserve"> </w:t>
      </w:r>
      <w:proofErr w:type="spellStart"/>
      <w:r>
        <w:rPr>
          <w:i/>
          <w:iCs/>
        </w:rPr>
        <w:t>rishona</w:t>
      </w:r>
      <w:proofErr w:type="spellEnd"/>
      <w:r>
        <w:t xml:space="preserve"> (=</w:t>
      </w:r>
      <w:proofErr w:type="spellStart"/>
      <w:r>
        <w:rPr>
          <w:i/>
          <w:iCs/>
        </w:rPr>
        <w:t>br</w:t>
      </w:r>
      <w:proofErr w:type="spellEnd"/>
      <w:r>
        <w:t>)</w:t>
      </w:r>
      <w:r>
        <w:rPr>
          <w:i/>
          <w:iCs/>
        </w:rPr>
        <w:t xml:space="preserve"> </w:t>
      </w:r>
      <w:r>
        <w:t xml:space="preserve">before it, there is a </w:t>
      </w:r>
      <w:proofErr w:type="spellStart"/>
      <w:r>
        <w:rPr>
          <w:i/>
          <w:iCs/>
        </w:rPr>
        <w:t>ba</w:t>
      </w:r>
      <w:proofErr w:type="spellEnd"/>
      <w:r>
        <w:rPr>
          <w:i/>
          <w:iCs/>
        </w:rPr>
        <w:t xml:space="preserve"> </w:t>
      </w:r>
      <w:r>
        <w:t xml:space="preserve">only after eating a </w:t>
      </w:r>
      <w:proofErr w:type="spellStart"/>
      <w:r>
        <w:rPr>
          <w:i/>
          <w:iCs/>
        </w:rPr>
        <w:t>k’zayit</w:t>
      </w:r>
      <w:proofErr w:type="spellEnd"/>
      <w:r>
        <w:rPr>
          <w:i/>
          <w:iCs/>
        </w:rPr>
        <w:t xml:space="preserve"> </w:t>
      </w:r>
      <w:r>
        <w:t xml:space="preserve">(Shulchan </w:t>
      </w:r>
      <w:proofErr w:type="spellStart"/>
      <w:r>
        <w:t>Aruch</w:t>
      </w:r>
      <w:proofErr w:type="spellEnd"/>
      <w:r>
        <w:t xml:space="preserve">, </w:t>
      </w:r>
      <w:proofErr w:type="spellStart"/>
      <w:r>
        <w:t>Orach</w:t>
      </w:r>
      <w:proofErr w:type="spellEnd"/>
      <w:r>
        <w:t xml:space="preserve"> Chayim 210:1). If one eats small amounts of foods with different </w:t>
      </w:r>
      <w:proofErr w:type="spellStart"/>
      <w:r>
        <w:rPr>
          <w:i/>
          <w:iCs/>
        </w:rPr>
        <w:t>berachot</w:t>
      </w:r>
      <w:proofErr w:type="spellEnd"/>
      <w:r>
        <w:rPr>
          <w:i/>
          <w:iCs/>
        </w:rPr>
        <w:t xml:space="preserve"> </w:t>
      </w:r>
      <w:proofErr w:type="spellStart"/>
      <w:r>
        <w:rPr>
          <w:i/>
          <w:iCs/>
        </w:rPr>
        <w:t>acharonot</w:t>
      </w:r>
      <w:proofErr w:type="spellEnd"/>
      <w:r>
        <w:t xml:space="preserve"> that combine to form a </w:t>
      </w:r>
      <w:proofErr w:type="spellStart"/>
      <w:r>
        <w:rPr>
          <w:i/>
          <w:iCs/>
        </w:rPr>
        <w:t>k’zayit</w:t>
      </w:r>
      <w:proofErr w:type="spellEnd"/>
      <w:r>
        <w:t xml:space="preserve">, he recites the “lower </w:t>
      </w:r>
      <w:proofErr w:type="spellStart"/>
      <w:r w:rsidRPr="00B02460">
        <w:rPr>
          <w:i/>
          <w:iCs/>
        </w:rPr>
        <w:t>beracha</w:t>
      </w:r>
      <w:proofErr w:type="spellEnd"/>
      <w:r>
        <w:t xml:space="preserve">” (usually, </w:t>
      </w:r>
      <w:proofErr w:type="spellStart"/>
      <w:r>
        <w:rPr>
          <w:i/>
          <w:iCs/>
        </w:rPr>
        <w:t>Borei</w:t>
      </w:r>
      <w:proofErr w:type="spellEnd"/>
      <w:r>
        <w:rPr>
          <w:i/>
          <w:iCs/>
        </w:rPr>
        <w:t xml:space="preserve"> </w:t>
      </w:r>
      <w:proofErr w:type="spellStart"/>
      <w:r>
        <w:rPr>
          <w:i/>
          <w:iCs/>
        </w:rPr>
        <w:t>Nefashot</w:t>
      </w:r>
      <w:proofErr w:type="spellEnd"/>
      <w:r>
        <w:t xml:space="preserve">) (Magen Avraham 210:1). </w:t>
      </w:r>
    </w:p>
    <w:p w14:paraId="0AC5C47C" w14:textId="77777777" w:rsidR="004F68DA" w:rsidRPr="00053EE7" w:rsidRDefault="004F68DA" w:rsidP="004F68DA">
      <w:pPr>
        <w:bidi w:val="0"/>
        <w:ind w:right="26" w:firstLine="450"/>
      </w:pPr>
      <w:r>
        <w:t xml:space="preserve">The question is how to view a single food made up of different ingredients. Regarding </w:t>
      </w:r>
      <w:proofErr w:type="spellStart"/>
      <w:r w:rsidRPr="00E63BD7">
        <w:rPr>
          <w:i/>
          <w:iCs/>
        </w:rPr>
        <w:t>br</w:t>
      </w:r>
      <w:proofErr w:type="spellEnd"/>
      <w:r>
        <w:t xml:space="preserve">, when a food significantly contains (not as filler) wheat or other flour of the “five </w:t>
      </w:r>
      <w:proofErr w:type="gramStart"/>
      <w:r>
        <w:rPr>
          <w:i/>
          <w:iCs/>
        </w:rPr>
        <w:t>minim</w:t>
      </w:r>
      <w:proofErr w:type="gramEnd"/>
      <w:r>
        <w:t>” (=</w:t>
      </w:r>
      <w:r>
        <w:rPr>
          <w:i/>
          <w:iCs/>
        </w:rPr>
        <w:t>5mn</w:t>
      </w:r>
      <w:r>
        <w:t xml:space="preserve">) along with even a majority of foods with other </w:t>
      </w:r>
      <w:proofErr w:type="spellStart"/>
      <w:r>
        <w:rPr>
          <w:i/>
          <w:iCs/>
        </w:rPr>
        <w:t>berachot</w:t>
      </w:r>
      <w:proofErr w:type="spellEnd"/>
      <w:r>
        <w:t xml:space="preserve">, one recites only </w:t>
      </w:r>
      <w:proofErr w:type="spellStart"/>
      <w:r>
        <w:rPr>
          <w:i/>
          <w:iCs/>
        </w:rPr>
        <w:t>Mezonot</w:t>
      </w:r>
      <w:proofErr w:type="spellEnd"/>
      <w:r>
        <w:t xml:space="preserve"> (or </w:t>
      </w:r>
      <w:r>
        <w:rPr>
          <w:i/>
          <w:iCs/>
        </w:rPr>
        <w:t>Hamotzi</w:t>
      </w:r>
      <w:r>
        <w:t>), which covers even the non-</w:t>
      </w:r>
      <w:proofErr w:type="spellStart"/>
      <w:r>
        <w:rPr>
          <w:i/>
          <w:iCs/>
        </w:rPr>
        <w:t>Mezonot</w:t>
      </w:r>
      <w:proofErr w:type="spellEnd"/>
      <w:r>
        <w:t xml:space="preserve"> ingredients (Shulchan </w:t>
      </w:r>
      <w:proofErr w:type="spellStart"/>
      <w:r>
        <w:t>Aruch</w:t>
      </w:r>
      <w:proofErr w:type="spellEnd"/>
      <w:r>
        <w:t xml:space="preserve">, OC 208:2). </w:t>
      </w:r>
    </w:p>
    <w:p w14:paraId="600F70D5" w14:textId="77777777" w:rsidR="004F68DA" w:rsidRDefault="004F68DA" w:rsidP="004F68DA">
      <w:pPr>
        <w:bidi w:val="0"/>
        <w:ind w:firstLine="450"/>
      </w:pPr>
      <w:r>
        <w:t xml:space="preserve">Regarding </w:t>
      </w:r>
      <w:proofErr w:type="spellStart"/>
      <w:r>
        <w:rPr>
          <w:i/>
          <w:iCs/>
        </w:rPr>
        <w:t>ba</w:t>
      </w:r>
      <w:proofErr w:type="spellEnd"/>
      <w:r w:rsidRPr="00C94CD0">
        <w:t>,</w:t>
      </w:r>
      <w:r>
        <w:rPr>
          <w:i/>
          <w:iCs/>
        </w:rPr>
        <w:t xml:space="preserve"> </w:t>
      </w:r>
      <w:r>
        <w:t xml:space="preserve">in one place, the Shulchan </w:t>
      </w:r>
      <w:proofErr w:type="spellStart"/>
      <w:r>
        <w:t>Aruch</w:t>
      </w:r>
      <w:proofErr w:type="spellEnd"/>
      <w:r>
        <w:t xml:space="preserve"> (ibid.) says that the </w:t>
      </w:r>
      <w:proofErr w:type="spellStart"/>
      <w:r w:rsidRPr="00CC12E6">
        <w:rPr>
          <w:i/>
          <w:iCs/>
        </w:rPr>
        <w:t>ba</w:t>
      </w:r>
      <w:proofErr w:type="spellEnd"/>
      <w:r>
        <w:t xml:space="preserve"> for such a food is </w:t>
      </w:r>
      <w:r>
        <w:rPr>
          <w:i/>
          <w:iCs/>
        </w:rPr>
        <w:t xml:space="preserve">Al </w:t>
      </w:r>
      <w:proofErr w:type="spellStart"/>
      <w:r>
        <w:rPr>
          <w:i/>
          <w:iCs/>
        </w:rPr>
        <w:t>Hamichya</w:t>
      </w:r>
      <w:proofErr w:type="spellEnd"/>
      <w:r>
        <w:t xml:space="preserve"> even if the flour is clearly a minority. In another place (ibid. 9), he writes that if there is not a </w:t>
      </w:r>
      <w:proofErr w:type="spellStart"/>
      <w:r>
        <w:rPr>
          <w:i/>
          <w:iCs/>
        </w:rPr>
        <w:t>k’zayit</w:t>
      </w:r>
      <w:proofErr w:type="spellEnd"/>
      <w:r>
        <w:t xml:space="preserve"> of flour within a </w:t>
      </w:r>
      <w:proofErr w:type="spellStart"/>
      <w:r>
        <w:rPr>
          <w:i/>
          <w:iCs/>
        </w:rPr>
        <w:t>pras</w:t>
      </w:r>
      <w:proofErr w:type="spellEnd"/>
      <w:r>
        <w:rPr>
          <w:i/>
          <w:iCs/>
        </w:rPr>
        <w:t xml:space="preserve"> </w:t>
      </w:r>
      <w:r>
        <w:t xml:space="preserve">(eight </w:t>
      </w:r>
      <w:proofErr w:type="spellStart"/>
      <w:r>
        <w:rPr>
          <w:i/>
          <w:iCs/>
        </w:rPr>
        <w:t>k’zeitim</w:t>
      </w:r>
      <w:proofErr w:type="spellEnd"/>
      <w:r>
        <w:t xml:space="preserve">) of food, one recites only </w:t>
      </w:r>
      <w:r>
        <w:rPr>
          <w:i/>
          <w:iCs/>
        </w:rPr>
        <w:t xml:space="preserve">Al </w:t>
      </w:r>
      <w:proofErr w:type="spellStart"/>
      <w:r>
        <w:rPr>
          <w:i/>
          <w:iCs/>
        </w:rPr>
        <w:t>Hamichya</w:t>
      </w:r>
      <w:proofErr w:type="spellEnd"/>
      <w:r>
        <w:t xml:space="preserve"> on bread made from it, and if cooked, only </w:t>
      </w:r>
      <w:proofErr w:type="spellStart"/>
      <w:r>
        <w:rPr>
          <w:i/>
          <w:iCs/>
        </w:rPr>
        <w:t>Borei</w:t>
      </w:r>
      <w:proofErr w:type="spellEnd"/>
      <w:r>
        <w:rPr>
          <w:i/>
          <w:iCs/>
        </w:rPr>
        <w:t xml:space="preserve"> </w:t>
      </w:r>
      <w:proofErr w:type="spellStart"/>
      <w:r>
        <w:rPr>
          <w:i/>
          <w:iCs/>
        </w:rPr>
        <w:t>Nefashot</w:t>
      </w:r>
      <w:proofErr w:type="spellEnd"/>
      <w:r>
        <w:t xml:space="preserve"> rather than </w:t>
      </w:r>
      <w:r>
        <w:rPr>
          <w:i/>
          <w:iCs/>
        </w:rPr>
        <w:t xml:space="preserve">Al </w:t>
      </w:r>
      <w:proofErr w:type="spellStart"/>
      <w:r>
        <w:rPr>
          <w:i/>
          <w:iCs/>
        </w:rPr>
        <w:t>Hamichya</w:t>
      </w:r>
      <w:proofErr w:type="spellEnd"/>
      <w:r>
        <w:t xml:space="preserve">. So, we see that the </w:t>
      </w:r>
      <w:proofErr w:type="spellStart"/>
      <w:r w:rsidRPr="00CC12E6">
        <w:rPr>
          <w:i/>
          <w:iCs/>
        </w:rPr>
        <w:t>ba</w:t>
      </w:r>
      <w:proofErr w:type="spellEnd"/>
      <w:r>
        <w:rPr>
          <w:i/>
          <w:iCs/>
        </w:rPr>
        <w:t xml:space="preserve"> </w:t>
      </w:r>
      <w:r>
        <w:t xml:space="preserve">can be reduced due to the presence of a predominance of other ingredients. How much it is affected is disputed, as the </w:t>
      </w:r>
      <w:proofErr w:type="spellStart"/>
      <w:r>
        <w:t>Gra</w:t>
      </w:r>
      <w:proofErr w:type="spellEnd"/>
      <w:r>
        <w:t xml:space="preserve"> (ad loc.) says that without a </w:t>
      </w:r>
      <w:proofErr w:type="spellStart"/>
      <w:r>
        <w:rPr>
          <w:i/>
          <w:iCs/>
        </w:rPr>
        <w:t>k’zayit</w:t>
      </w:r>
      <w:proofErr w:type="spellEnd"/>
      <w:r>
        <w:t xml:space="preserve"> within a </w:t>
      </w:r>
      <w:proofErr w:type="spellStart"/>
      <w:r>
        <w:rPr>
          <w:i/>
          <w:iCs/>
        </w:rPr>
        <w:t>pras</w:t>
      </w:r>
      <w:proofErr w:type="spellEnd"/>
      <w:r>
        <w:t xml:space="preserve"> worth the </w:t>
      </w:r>
      <w:proofErr w:type="spellStart"/>
      <w:r w:rsidRPr="00CC12E6">
        <w:rPr>
          <w:i/>
          <w:iCs/>
        </w:rPr>
        <w:t>ba</w:t>
      </w:r>
      <w:proofErr w:type="spellEnd"/>
      <w:r>
        <w:t xml:space="preserve"> is always </w:t>
      </w:r>
      <w:proofErr w:type="spellStart"/>
      <w:r>
        <w:rPr>
          <w:i/>
          <w:iCs/>
        </w:rPr>
        <w:t>Borei</w:t>
      </w:r>
      <w:proofErr w:type="spellEnd"/>
      <w:r>
        <w:rPr>
          <w:i/>
          <w:iCs/>
        </w:rPr>
        <w:t xml:space="preserve"> </w:t>
      </w:r>
      <w:proofErr w:type="spellStart"/>
      <w:r>
        <w:rPr>
          <w:i/>
          <w:iCs/>
        </w:rPr>
        <w:t>Nefashot</w:t>
      </w:r>
      <w:proofErr w:type="spellEnd"/>
      <w:r>
        <w:t xml:space="preserve">. The Mishna </w:t>
      </w:r>
      <w:proofErr w:type="spellStart"/>
      <w:r>
        <w:t>Berura</w:t>
      </w:r>
      <w:proofErr w:type="spellEnd"/>
      <w:r>
        <w:t xml:space="preserve"> (ad loc. 47) contends that in order to make the higher </w:t>
      </w:r>
      <w:proofErr w:type="spellStart"/>
      <w:r>
        <w:rPr>
          <w:i/>
          <w:iCs/>
        </w:rPr>
        <w:t>beracha</w:t>
      </w:r>
      <w:proofErr w:type="spellEnd"/>
      <w:r>
        <w:t xml:space="preserve">, the Shulchan </w:t>
      </w:r>
      <w:proofErr w:type="spellStart"/>
      <w:r>
        <w:t>Aruch</w:t>
      </w:r>
      <w:proofErr w:type="spellEnd"/>
      <w:r>
        <w:t xml:space="preserve"> requires not only a one eighth concentration but that one needs to eat a </w:t>
      </w:r>
      <w:proofErr w:type="spellStart"/>
      <w:r>
        <w:rPr>
          <w:i/>
          <w:iCs/>
        </w:rPr>
        <w:t>k’zayit</w:t>
      </w:r>
      <w:proofErr w:type="spellEnd"/>
      <w:r>
        <w:rPr>
          <w:i/>
          <w:iCs/>
        </w:rPr>
        <w:t xml:space="preserve"> </w:t>
      </w:r>
      <w:r>
        <w:t xml:space="preserve">worth of the </w:t>
      </w:r>
      <w:r>
        <w:rPr>
          <w:i/>
          <w:iCs/>
        </w:rPr>
        <w:t xml:space="preserve">5mn </w:t>
      </w:r>
      <w:r>
        <w:t xml:space="preserve">flour. Conceptually, this means that a minority of flour is central enough to a complex food to control its overall identity and justify a “higher-level” </w:t>
      </w:r>
      <w:proofErr w:type="spellStart"/>
      <w:r w:rsidRPr="00CC12E6">
        <w:rPr>
          <w:i/>
          <w:iCs/>
        </w:rPr>
        <w:t>ba</w:t>
      </w:r>
      <w:proofErr w:type="spellEnd"/>
      <w:r>
        <w:t xml:space="preserve">, but the other foods are not subsumed enough to counts towards the </w:t>
      </w:r>
      <w:proofErr w:type="spellStart"/>
      <w:r>
        <w:rPr>
          <w:i/>
          <w:iCs/>
        </w:rPr>
        <w:t>ba</w:t>
      </w:r>
      <w:proofErr w:type="spellEnd"/>
      <w:r>
        <w:rPr>
          <w:i/>
          <w:iCs/>
        </w:rPr>
        <w:t xml:space="preserve"> </w:t>
      </w:r>
      <w:r>
        <w:t xml:space="preserve">of the </w:t>
      </w:r>
      <w:r>
        <w:rPr>
          <w:i/>
          <w:iCs/>
        </w:rPr>
        <w:t xml:space="preserve">5mn </w:t>
      </w:r>
      <w:r>
        <w:t xml:space="preserve">flour. </w:t>
      </w:r>
    </w:p>
    <w:p w14:paraId="4B688687" w14:textId="77777777" w:rsidR="004F68DA" w:rsidRDefault="004F68DA" w:rsidP="004F68DA">
      <w:pPr>
        <w:bidi w:val="0"/>
        <w:ind w:firstLine="450"/>
      </w:pPr>
      <w:r>
        <w:t xml:space="preserve">There is significant </w:t>
      </w:r>
      <w:proofErr w:type="spellStart"/>
      <w:r>
        <w:rPr>
          <w:i/>
          <w:iCs/>
        </w:rPr>
        <w:t>machloket</w:t>
      </w:r>
      <w:proofErr w:type="spellEnd"/>
      <w:r>
        <w:t xml:space="preserve"> to what extent to limit the power of flour regarding </w:t>
      </w:r>
      <w:proofErr w:type="spellStart"/>
      <w:r w:rsidRPr="00C5264C">
        <w:rPr>
          <w:i/>
          <w:iCs/>
        </w:rPr>
        <w:t>ba</w:t>
      </w:r>
      <w:proofErr w:type="spellEnd"/>
      <w:r>
        <w:t xml:space="preserve">. The Magen Avraham (208:15) says that the latter, more limiting Shulchan </w:t>
      </w:r>
      <w:proofErr w:type="spellStart"/>
      <w:r>
        <w:t>Aruch</w:t>
      </w:r>
      <w:proofErr w:type="spellEnd"/>
      <w:r>
        <w:t xml:space="preserve"> refers to the mixing of multiple types of grain but that other non-</w:t>
      </w:r>
      <w:proofErr w:type="spellStart"/>
      <w:r>
        <w:rPr>
          <w:i/>
          <w:iCs/>
        </w:rPr>
        <w:t>Mezonot</w:t>
      </w:r>
      <w:proofErr w:type="spellEnd"/>
      <w:r>
        <w:t xml:space="preserve"> ingredients team up with flour to reach the necessary </w:t>
      </w:r>
      <w:proofErr w:type="spellStart"/>
      <w:r>
        <w:rPr>
          <w:i/>
          <w:iCs/>
        </w:rPr>
        <w:t>k’zayit</w:t>
      </w:r>
      <w:proofErr w:type="spellEnd"/>
      <w:r>
        <w:t xml:space="preserve">. The Chayei Adam (I, 50:21) is among those with misgivings over the Magen Avraham’s distinction. The Mishna </w:t>
      </w:r>
      <w:proofErr w:type="spellStart"/>
      <w:r>
        <w:t>Berura</w:t>
      </w:r>
      <w:proofErr w:type="spellEnd"/>
      <w:r>
        <w:t xml:space="preserve"> (208:48), in noting that the common practice is to recite </w:t>
      </w:r>
      <w:r>
        <w:rPr>
          <w:i/>
          <w:iCs/>
        </w:rPr>
        <w:t xml:space="preserve">Al </w:t>
      </w:r>
      <w:proofErr w:type="spellStart"/>
      <w:r>
        <w:rPr>
          <w:i/>
          <w:iCs/>
        </w:rPr>
        <w:t>Hamichya</w:t>
      </w:r>
      <w:proofErr w:type="spellEnd"/>
      <w:r>
        <w:rPr>
          <w:i/>
          <w:iCs/>
        </w:rPr>
        <w:t xml:space="preserve"> </w:t>
      </w:r>
      <w:r>
        <w:t xml:space="preserve">after a </w:t>
      </w:r>
      <w:proofErr w:type="spellStart"/>
      <w:r>
        <w:rPr>
          <w:i/>
          <w:iCs/>
        </w:rPr>
        <w:t>k’zayit</w:t>
      </w:r>
      <w:proofErr w:type="spellEnd"/>
      <w:r>
        <w:t xml:space="preserve"> of a piece of cake, even though it has less than a </w:t>
      </w:r>
      <w:proofErr w:type="spellStart"/>
      <w:r>
        <w:rPr>
          <w:i/>
          <w:iCs/>
        </w:rPr>
        <w:t>k’zayit</w:t>
      </w:r>
      <w:proofErr w:type="spellEnd"/>
      <w:r>
        <w:t xml:space="preserve"> of flour, gives the following explanation. Since “spices” (e.g., sugar, oil) are there to improve the prominent flour base, they are counted toward the </w:t>
      </w:r>
      <w:proofErr w:type="spellStart"/>
      <w:r>
        <w:rPr>
          <w:i/>
          <w:iCs/>
        </w:rPr>
        <w:t>k’zayit</w:t>
      </w:r>
      <w:proofErr w:type="spellEnd"/>
      <w:r>
        <w:t xml:space="preserve">. Another idea is that the minimum amount of liquid needed to turn the flour into dough (but not the extra that makes it loose batter) counts toward the </w:t>
      </w:r>
      <w:proofErr w:type="spellStart"/>
      <w:r>
        <w:rPr>
          <w:i/>
          <w:iCs/>
        </w:rPr>
        <w:t>k’zayit</w:t>
      </w:r>
      <w:proofErr w:type="spellEnd"/>
      <w:r>
        <w:t xml:space="preserve"> (</w:t>
      </w:r>
      <w:proofErr w:type="spellStart"/>
      <w:r>
        <w:t>V’zot</w:t>
      </w:r>
      <w:proofErr w:type="spellEnd"/>
      <w:r>
        <w:t xml:space="preserve"> </w:t>
      </w:r>
      <w:proofErr w:type="spellStart"/>
      <w:r>
        <w:t>Haberacha</w:t>
      </w:r>
      <w:proofErr w:type="spellEnd"/>
      <w:r>
        <w:t>, p. 236).</w:t>
      </w:r>
      <w:r>
        <w:rPr>
          <w:i/>
          <w:iCs/>
        </w:rPr>
        <w:t xml:space="preserve"> </w:t>
      </w:r>
      <w:r>
        <w:t xml:space="preserve">The </w:t>
      </w:r>
      <w:proofErr w:type="spellStart"/>
      <w:r>
        <w:t>Chazon</w:t>
      </w:r>
      <w:proofErr w:type="spellEnd"/>
      <w:r>
        <w:t xml:space="preserve"> </w:t>
      </w:r>
      <w:proofErr w:type="spellStart"/>
      <w:r>
        <w:t>Ish</w:t>
      </w:r>
      <w:proofErr w:type="spellEnd"/>
      <w:r>
        <w:t xml:space="preserve"> (OC 26:</w:t>
      </w:r>
      <w:r>
        <w:rPr>
          <w:rFonts w:hint="cs"/>
          <w:rtl/>
        </w:rPr>
        <w:t>8</w:t>
      </w:r>
      <w:r>
        <w:t xml:space="preserve">) similarly distinguishes between ingredients that are kneaded along with the flour, which count toward the </w:t>
      </w:r>
      <w:proofErr w:type="spellStart"/>
      <w:r>
        <w:rPr>
          <w:i/>
          <w:iCs/>
        </w:rPr>
        <w:t>k’zayit</w:t>
      </w:r>
      <w:proofErr w:type="spellEnd"/>
      <w:r>
        <w:t xml:space="preserve">, and ingredients that are added after the kneading (e.g., the chocolate in </w:t>
      </w:r>
      <w:r>
        <w:rPr>
          <w:i/>
          <w:iCs/>
        </w:rPr>
        <w:t>rugelach</w:t>
      </w:r>
      <w:r>
        <w:t xml:space="preserve">). In the other direction, in cases where ingredients form a very distinct filling, e.g., in apple pie, it is accepted that it does not count toward the </w:t>
      </w:r>
      <w:proofErr w:type="spellStart"/>
      <w:r>
        <w:rPr>
          <w:i/>
          <w:iCs/>
        </w:rPr>
        <w:t>k’zayit</w:t>
      </w:r>
      <w:proofErr w:type="spellEnd"/>
      <w:r>
        <w:rPr>
          <w:i/>
          <w:iCs/>
        </w:rPr>
        <w:t xml:space="preserve"> </w:t>
      </w:r>
      <w:r>
        <w:t>(</w:t>
      </w:r>
      <w:proofErr w:type="spellStart"/>
      <w:r>
        <w:t>V’zot</w:t>
      </w:r>
      <w:proofErr w:type="spellEnd"/>
      <w:r>
        <w:t xml:space="preserve"> </w:t>
      </w:r>
      <w:proofErr w:type="spellStart"/>
      <w:r>
        <w:t>Haberacha</w:t>
      </w:r>
      <w:proofErr w:type="spellEnd"/>
      <w:r>
        <w:t>, p. 4</w:t>
      </w:r>
      <w:r>
        <w:rPr>
          <w:rFonts w:hint="cs"/>
          <w:rtl/>
        </w:rPr>
        <w:t>7</w:t>
      </w:r>
      <w:r>
        <w:t>).</w:t>
      </w:r>
    </w:p>
    <w:p w14:paraId="03FDB925" w14:textId="77777777" w:rsidR="004F68DA" w:rsidRPr="0023037B" w:rsidRDefault="004F68DA" w:rsidP="004F68DA">
      <w:pPr>
        <w:bidi w:val="0"/>
        <w:ind w:firstLine="450"/>
      </w:pPr>
      <w:r>
        <w:t xml:space="preserve">In summary, while it is unclear whether a </w:t>
      </w:r>
      <w:proofErr w:type="spellStart"/>
      <w:r>
        <w:rPr>
          <w:i/>
          <w:iCs/>
        </w:rPr>
        <w:t>k’zayit</w:t>
      </w:r>
      <w:proofErr w:type="spellEnd"/>
      <w:r>
        <w:t xml:space="preserve"> of flour is needed to call for </w:t>
      </w:r>
      <w:r>
        <w:rPr>
          <w:i/>
          <w:iCs/>
        </w:rPr>
        <w:t xml:space="preserve">Al </w:t>
      </w:r>
      <w:proofErr w:type="spellStart"/>
      <w:r>
        <w:rPr>
          <w:i/>
          <w:iCs/>
        </w:rPr>
        <w:t>Hamichya</w:t>
      </w:r>
      <w:proofErr w:type="spellEnd"/>
      <w:r>
        <w:t xml:space="preserve">, common practice is that a </w:t>
      </w:r>
      <w:proofErr w:type="spellStart"/>
      <w:r>
        <w:rPr>
          <w:i/>
          <w:iCs/>
        </w:rPr>
        <w:t>k’zayit</w:t>
      </w:r>
      <w:proofErr w:type="spellEnd"/>
      <w:r>
        <w:t xml:space="preserve"> of cake (not including filling) suffices. Other factors give a boost to the practice. First, while the most accepted measure of a </w:t>
      </w:r>
      <w:proofErr w:type="spellStart"/>
      <w:r>
        <w:rPr>
          <w:i/>
          <w:iCs/>
        </w:rPr>
        <w:t>k’zayit</w:t>
      </w:r>
      <w:proofErr w:type="spellEnd"/>
      <w:r>
        <w:t xml:space="preserve"> is 27 cc. (appr. 1 fl. oz.), it may be smaller, so that there may be an actual </w:t>
      </w:r>
      <w:proofErr w:type="spellStart"/>
      <w:r>
        <w:rPr>
          <w:i/>
          <w:iCs/>
        </w:rPr>
        <w:t>k’zayit</w:t>
      </w:r>
      <w:proofErr w:type="spellEnd"/>
      <w:r>
        <w:t xml:space="preserve"> of flour in a piece that is not that much larger than a “standard </w:t>
      </w:r>
      <w:proofErr w:type="spellStart"/>
      <w:r>
        <w:rPr>
          <w:i/>
          <w:iCs/>
        </w:rPr>
        <w:t>k’zayit</w:t>
      </w:r>
      <w:proofErr w:type="spellEnd"/>
      <w:r>
        <w:t xml:space="preserve">.” Also, </w:t>
      </w:r>
      <w:proofErr w:type="spellStart"/>
      <w:r>
        <w:t>Teshuvot</w:t>
      </w:r>
      <w:proofErr w:type="spellEnd"/>
      <w:r>
        <w:t xml:space="preserve"> </w:t>
      </w:r>
      <w:proofErr w:type="spellStart"/>
      <w:r>
        <w:t>V’hanhagot</w:t>
      </w:r>
      <w:proofErr w:type="spellEnd"/>
      <w:r>
        <w:t xml:space="preserve"> (II:133) posits that the </w:t>
      </w:r>
      <w:proofErr w:type="spellStart"/>
      <w:r>
        <w:rPr>
          <w:i/>
          <w:iCs/>
        </w:rPr>
        <w:t>b’di’eved</w:t>
      </w:r>
      <w:proofErr w:type="spellEnd"/>
      <w:r>
        <w:rPr>
          <w:i/>
          <w:iCs/>
        </w:rPr>
        <w:t xml:space="preserve"> </w:t>
      </w:r>
      <w:r>
        <w:t xml:space="preserve">situation favors </w:t>
      </w:r>
      <w:r>
        <w:rPr>
          <w:i/>
          <w:iCs/>
        </w:rPr>
        <w:t xml:space="preserve">Al </w:t>
      </w:r>
      <w:proofErr w:type="spellStart"/>
      <w:r>
        <w:rPr>
          <w:i/>
          <w:iCs/>
        </w:rPr>
        <w:t>Hamichya</w:t>
      </w:r>
      <w:proofErr w:type="spellEnd"/>
      <w:r>
        <w:t xml:space="preserve">. He claims that since a </w:t>
      </w:r>
      <w:proofErr w:type="spellStart"/>
      <w:r>
        <w:rPr>
          <w:i/>
          <w:iCs/>
        </w:rPr>
        <w:t>k’zayit</w:t>
      </w:r>
      <w:proofErr w:type="spellEnd"/>
      <w:r>
        <w:rPr>
          <w:i/>
          <w:iCs/>
        </w:rPr>
        <w:t xml:space="preserve"> </w:t>
      </w:r>
      <w:r>
        <w:t xml:space="preserve">of food requires some </w:t>
      </w:r>
      <w:proofErr w:type="spellStart"/>
      <w:r w:rsidRPr="00CC12E6">
        <w:rPr>
          <w:i/>
          <w:iCs/>
        </w:rPr>
        <w:t>ba</w:t>
      </w:r>
      <w:proofErr w:type="spellEnd"/>
      <w:r>
        <w:t xml:space="preserve"> and since cake is associated with the flour element, one would be </w:t>
      </w:r>
      <w:proofErr w:type="spellStart"/>
      <w:r>
        <w:rPr>
          <w:i/>
          <w:iCs/>
        </w:rPr>
        <w:t>yotzei</w:t>
      </w:r>
      <w:proofErr w:type="spellEnd"/>
      <w:r>
        <w:t xml:space="preserve"> with </w:t>
      </w:r>
      <w:r>
        <w:rPr>
          <w:i/>
          <w:iCs/>
        </w:rPr>
        <w:t xml:space="preserve">Al </w:t>
      </w:r>
      <w:proofErr w:type="spellStart"/>
      <w:r>
        <w:rPr>
          <w:i/>
          <w:iCs/>
        </w:rPr>
        <w:t>Hamichya</w:t>
      </w:r>
      <w:proofErr w:type="spellEnd"/>
      <w:r>
        <w:rPr>
          <w:i/>
          <w:iCs/>
        </w:rPr>
        <w:t xml:space="preserve"> </w:t>
      </w:r>
      <w:r>
        <w:t xml:space="preserve">even if </w:t>
      </w:r>
      <w:proofErr w:type="spellStart"/>
      <w:r>
        <w:rPr>
          <w:i/>
          <w:iCs/>
        </w:rPr>
        <w:t>Borei</w:t>
      </w:r>
      <w:proofErr w:type="spellEnd"/>
      <w:r>
        <w:rPr>
          <w:i/>
          <w:iCs/>
        </w:rPr>
        <w:t xml:space="preserve"> </w:t>
      </w:r>
      <w:proofErr w:type="spellStart"/>
      <w:r>
        <w:rPr>
          <w:i/>
          <w:iCs/>
        </w:rPr>
        <w:t>Nefashot</w:t>
      </w:r>
      <w:proofErr w:type="spellEnd"/>
      <w:r>
        <w:t xml:space="preserve"> is preferable. In contrast, if </w:t>
      </w:r>
      <w:r>
        <w:rPr>
          <w:i/>
          <w:iCs/>
        </w:rPr>
        <w:t xml:space="preserve">Al </w:t>
      </w:r>
      <w:proofErr w:type="spellStart"/>
      <w:r>
        <w:rPr>
          <w:i/>
          <w:iCs/>
        </w:rPr>
        <w:t>Hamichya</w:t>
      </w:r>
      <w:proofErr w:type="spellEnd"/>
      <w:r>
        <w:rPr>
          <w:i/>
          <w:iCs/>
        </w:rPr>
        <w:t xml:space="preserve"> </w:t>
      </w:r>
      <w:r>
        <w:t xml:space="preserve">is necessary, </w:t>
      </w:r>
      <w:proofErr w:type="spellStart"/>
      <w:r>
        <w:rPr>
          <w:i/>
          <w:iCs/>
        </w:rPr>
        <w:t>Borei</w:t>
      </w:r>
      <w:proofErr w:type="spellEnd"/>
      <w:r>
        <w:rPr>
          <w:i/>
          <w:iCs/>
        </w:rPr>
        <w:t xml:space="preserve"> </w:t>
      </w:r>
      <w:proofErr w:type="spellStart"/>
      <w:r>
        <w:rPr>
          <w:i/>
          <w:iCs/>
        </w:rPr>
        <w:t>Nefashot</w:t>
      </w:r>
      <w:proofErr w:type="spellEnd"/>
      <w:r>
        <w:rPr>
          <w:i/>
          <w:iCs/>
        </w:rPr>
        <w:t xml:space="preserve"> </w:t>
      </w:r>
      <w:r>
        <w:t>does not suffice.</w:t>
      </w:r>
      <w:r>
        <w:rPr>
          <w:i/>
          <w:iCs/>
        </w:rPr>
        <w:t xml:space="preserve"> </w:t>
      </w:r>
      <w:r>
        <w:t xml:space="preserve">While eating additional cake is a logical halachic solution for the doubt, it may be unwise </w:t>
      </w:r>
      <w:proofErr w:type="spellStart"/>
      <w:r>
        <w:t>healthwise</w:t>
      </w:r>
      <w:proofErr w:type="spellEnd"/>
      <w:r>
        <w:t>.</w:t>
      </w:r>
    </w:p>
    <w:p w14:paraId="4CA3E527" w14:textId="25C1BD79" w:rsidR="00B21F18" w:rsidRPr="00052710" w:rsidRDefault="00B21F18" w:rsidP="00B21F18">
      <w:pPr>
        <w:bidi w:val="0"/>
        <w:ind w:firstLine="450"/>
        <w:rPr>
          <w:i/>
          <w:iCs/>
        </w:rPr>
      </w:pPr>
      <w:r>
        <w:t xml:space="preserve">    </w:t>
      </w:r>
      <w:r>
        <w:rPr>
          <w:i/>
          <w:iCs/>
        </w:rPr>
        <w:t xml:space="preserve"> </w:t>
      </w:r>
    </w:p>
    <w:p w14:paraId="3D8CD7F1" w14:textId="77777777" w:rsidR="00BC0715" w:rsidRPr="007C01B2" w:rsidRDefault="00BC0715" w:rsidP="00BC0715">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274012"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2730BFE"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396C7281" w14:textId="77777777" w:rsidR="00274012" w:rsidRPr="004E5858" w:rsidRDefault="00274012" w:rsidP="00274012">
      <w:pPr>
        <w:jc w:val="center"/>
        <w:rPr>
          <w:b/>
          <w:bCs/>
          <w:color w:val="002060"/>
          <w:sz w:val="28"/>
          <w:szCs w:val="28"/>
        </w:rPr>
      </w:pPr>
      <w:r>
        <w:rPr>
          <w:b/>
          <w:bCs/>
          <w:color w:val="002060"/>
          <w:sz w:val="28"/>
          <w:szCs w:val="28"/>
        </w:rPr>
        <w:t xml:space="preserve">Introduction to </w:t>
      </w:r>
      <w:r>
        <w:rPr>
          <w:b/>
          <w:bCs/>
          <w:i/>
          <w:iCs/>
          <w:color w:val="002060"/>
          <w:sz w:val="28"/>
          <w:szCs w:val="28"/>
        </w:rPr>
        <w:t xml:space="preserve">Midrash </w:t>
      </w:r>
      <w:proofErr w:type="spellStart"/>
      <w:r>
        <w:rPr>
          <w:b/>
          <w:bCs/>
          <w:i/>
          <w:iCs/>
          <w:color w:val="002060"/>
          <w:sz w:val="28"/>
          <w:szCs w:val="28"/>
        </w:rPr>
        <w:t>Rabba</w:t>
      </w:r>
      <w:proofErr w:type="spellEnd"/>
      <w:r>
        <w:rPr>
          <w:b/>
          <w:bCs/>
          <w:i/>
          <w:iCs/>
          <w:color w:val="002060"/>
          <w:sz w:val="28"/>
          <w:szCs w:val="28"/>
        </w:rPr>
        <w:t xml:space="preserve"> </w:t>
      </w:r>
      <w:r>
        <w:rPr>
          <w:b/>
          <w:bCs/>
          <w:color w:val="002060"/>
          <w:sz w:val="28"/>
          <w:szCs w:val="28"/>
        </w:rPr>
        <w:t>–</w:t>
      </w:r>
      <w:r>
        <w:rPr>
          <w:b/>
          <w:bCs/>
          <w:i/>
          <w:iCs/>
          <w:color w:val="002060"/>
          <w:sz w:val="28"/>
          <w:szCs w:val="28"/>
        </w:rPr>
        <w:t xml:space="preserve"> </w:t>
      </w:r>
      <w:r>
        <w:rPr>
          <w:b/>
          <w:bCs/>
          <w:color w:val="002060"/>
          <w:sz w:val="28"/>
          <w:szCs w:val="28"/>
        </w:rPr>
        <w:t>part I</w:t>
      </w:r>
    </w:p>
    <w:p w14:paraId="10718406" w14:textId="77777777" w:rsidR="00274012" w:rsidRDefault="00274012" w:rsidP="00274012">
      <w:pPr>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121</w:t>
      </w:r>
    </w:p>
    <w:p w14:paraId="6DE2A6C1" w14:textId="77777777" w:rsidR="00274012" w:rsidRDefault="00274012" w:rsidP="00274012">
      <w:pPr>
        <w:bidi w:val="0"/>
        <w:ind w:firstLine="360"/>
      </w:pPr>
    </w:p>
    <w:p w14:paraId="2B242C61" w14:textId="77777777" w:rsidR="00274012" w:rsidRDefault="00274012" w:rsidP="00274012">
      <w:pPr>
        <w:bidi w:val="0"/>
        <w:ind w:firstLine="360"/>
      </w:pPr>
      <w:r>
        <w:t xml:space="preserve">The Torah’s Oral Law has two parts: Halacha (Rabbinical scholarship’s operative part) and </w:t>
      </w:r>
      <w:proofErr w:type="spellStart"/>
      <w:r>
        <w:t>Aggada</w:t>
      </w:r>
      <w:proofErr w:type="spellEnd"/>
      <w:r>
        <w:t xml:space="preserve"> (Rabbinic scholarship’s exegetical and philosophical part). </w:t>
      </w:r>
    </w:p>
    <w:p w14:paraId="25C75F3B" w14:textId="77777777" w:rsidR="00274012" w:rsidRDefault="00274012" w:rsidP="00274012">
      <w:pPr>
        <w:bidi w:val="0"/>
        <w:ind w:firstLine="360"/>
      </w:pPr>
      <w:r>
        <w:t xml:space="preserve">Halacha is the formulated form of the special spirit that makes Torah special. Legal systems generally have a platform, a philosophy that justifies the laws, and from which they emanate. When we analyze the </w:t>
      </w:r>
      <w:proofErr w:type="spellStart"/>
      <w:r>
        <w:rPr>
          <w:i/>
          <w:iCs/>
        </w:rPr>
        <w:t>halachot</w:t>
      </w:r>
      <w:proofErr w:type="spellEnd"/>
      <w:r>
        <w:t xml:space="preserve">, we can notice the special spirit of justice that form their foundation. A different worldview from that of the Torah would necessarily create a different set of laws, whose rectitude would depend on their conformity to the worldview. Indeed, some countries have laws that stand in contradiction to those of other countries. The different spirit that serves as the foundation of the countries caused these differences. The laws of Sodom were also laws. They had judges, who judged the people “justly,” according to the concept of justice that they believed in. </w:t>
      </w:r>
    </w:p>
    <w:p w14:paraId="6C9D13AD" w14:textId="77777777" w:rsidR="00274012" w:rsidRDefault="00274012" w:rsidP="00274012">
      <w:pPr>
        <w:bidi w:val="0"/>
        <w:ind w:firstLine="360"/>
      </w:pPr>
      <w:proofErr w:type="spellStart"/>
      <w:r>
        <w:t>Aggada</w:t>
      </w:r>
      <w:proofErr w:type="spellEnd"/>
      <w:r>
        <w:t xml:space="preserve"> is the internal spirit that gives life to Halacha. It is from it and upon it that Halacha was created. It is in </w:t>
      </w:r>
      <w:proofErr w:type="spellStart"/>
      <w:r>
        <w:t>Aggada</w:t>
      </w:r>
      <w:proofErr w:type="spellEnd"/>
      <w:r>
        <w:t xml:space="preserve"> that we find the special philosophy that makes Halacha crucial and understandable. By knowing </w:t>
      </w:r>
      <w:proofErr w:type="spellStart"/>
      <w:r>
        <w:t>Aggada</w:t>
      </w:r>
      <w:proofErr w:type="spellEnd"/>
      <w:r>
        <w:t xml:space="preserve">, we can grasp the direction that Halacha provides. Through it, we can reach the same conclusions that Halacha sets. </w:t>
      </w:r>
      <w:proofErr w:type="spellStart"/>
      <w:r w:rsidRPr="00A81999">
        <w:t>Aggada</w:t>
      </w:r>
      <w:proofErr w:type="spellEnd"/>
      <w:r>
        <w:rPr>
          <w:b/>
          <w:bCs/>
        </w:rPr>
        <w:t xml:space="preserve"> </w:t>
      </w:r>
      <w:r w:rsidRPr="005E2A21">
        <w:t>is</w:t>
      </w:r>
      <w:r>
        <w:rPr>
          <w:b/>
          <w:bCs/>
          <w:i/>
          <w:iCs/>
        </w:rPr>
        <w:t xml:space="preserve"> </w:t>
      </w:r>
      <w:r w:rsidRPr="005E2A21">
        <w:t>the</w:t>
      </w:r>
      <w:r>
        <w:rPr>
          <w:b/>
          <w:bCs/>
        </w:rPr>
        <w:t xml:space="preserve"> </w:t>
      </w:r>
      <w:r>
        <w:t xml:space="preserve">soul of Halacha. </w:t>
      </w:r>
    </w:p>
    <w:p w14:paraId="6108CB5B" w14:textId="77777777" w:rsidR="00274012" w:rsidRDefault="00274012" w:rsidP="00274012">
      <w:pPr>
        <w:bidi w:val="0"/>
        <w:ind w:firstLine="360"/>
      </w:pPr>
      <w:r>
        <w:t xml:space="preserve">One who embraces the Torah without the basis that gives it life does a great injustice. Its “letters” (a reference to a </w:t>
      </w:r>
      <w:proofErr w:type="spellStart"/>
      <w:r>
        <w:rPr>
          <w:i/>
          <w:iCs/>
        </w:rPr>
        <w:t>sefer</w:t>
      </w:r>
      <w:proofErr w:type="spellEnd"/>
      <w:r>
        <w:rPr>
          <w:i/>
          <w:iCs/>
        </w:rPr>
        <w:t xml:space="preserve"> Torah</w:t>
      </w:r>
      <w:r>
        <w:t xml:space="preserve"> whose letters flew up to the Heaven when its parchment was burning) fly away, and it remains a matter lacking its own life. Over time, the corpus of Halacha can be corrupted, which can impact the very essence of the laws. </w:t>
      </w:r>
    </w:p>
    <w:p w14:paraId="296E5779" w14:textId="77777777" w:rsidR="00274012" w:rsidRDefault="00274012" w:rsidP="00274012">
      <w:pPr>
        <w:bidi w:val="0"/>
        <w:ind w:firstLine="360"/>
      </w:pPr>
      <w:r>
        <w:t xml:space="preserve">The spirit of the Written Law is the Oral Law, and the Oral Law’s spirit is </w:t>
      </w:r>
      <w:proofErr w:type="spellStart"/>
      <w:r>
        <w:t>Aggada</w:t>
      </w:r>
      <w:proofErr w:type="spellEnd"/>
      <w:r>
        <w:t xml:space="preserve">. One who separates them brings destruction on himself. </w:t>
      </w:r>
    </w:p>
    <w:p w14:paraId="091E88A3" w14:textId="77777777" w:rsidR="00274012" w:rsidRDefault="00274012" w:rsidP="00274012">
      <w:pPr>
        <w:bidi w:val="0"/>
        <w:ind w:firstLine="360"/>
      </w:pPr>
    </w:p>
    <w:p w14:paraId="736C9A39" w14:textId="77777777" w:rsidR="00274012" w:rsidRDefault="00274012" w:rsidP="00274012">
      <w:pPr>
        <w:bidi w:val="0"/>
        <w:ind w:firstLine="360"/>
      </w:pPr>
      <w:r>
        <w:t xml:space="preserve">Israel accepted the Torah, and the nations of the world also accepted parts of it. However, there is a huge difference between the acceptances. The laws and statutes do not cause Israel to suffer or feel subjugated. Rather, the laws and service of Hashem give life to Israel, making us feel a “lofty freedom.” In contrast, the nations of the world feel that their elements of the Torah limit them and diminish their freedom. It is a Torah of suffering, that creates an image of fear, of serving Hashem by necessity, not choice. The relationship between man and Hashem is for Israel of a son to his father, whereas for the nations, it is as a servant to his master. </w:t>
      </w:r>
    </w:p>
    <w:p w14:paraId="286561B6" w14:textId="77777777" w:rsidR="00274012" w:rsidRPr="009E6DDB" w:rsidRDefault="00274012" w:rsidP="00274012">
      <w:pPr>
        <w:bidi w:val="0"/>
        <w:ind w:firstLine="360"/>
        <w:rPr>
          <w:rFonts w:hint="cs"/>
          <w:rtl/>
        </w:rPr>
      </w:pPr>
      <w:r>
        <w:t xml:space="preserve">The following </w:t>
      </w:r>
      <w:proofErr w:type="spellStart"/>
      <w:r>
        <w:rPr>
          <w:i/>
          <w:iCs/>
        </w:rPr>
        <w:t>aggadic</w:t>
      </w:r>
      <w:proofErr w:type="spellEnd"/>
      <w:r>
        <w:rPr>
          <w:i/>
          <w:iCs/>
        </w:rPr>
        <w:t xml:space="preserve"> </w:t>
      </w:r>
      <w:r>
        <w:t>Talmudic story (</w:t>
      </w:r>
      <w:proofErr w:type="spellStart"/>
      <w:r>
        <w:t>Avoda</w:t>
      </w:r>
      <w:proofErr w:type="spellEnd"/>
      <w:r>
        <w:t xml:space="preserve"> Zara 2b-3a) typifies this idea. In the future, the nations will complain to Hashem that He did not “hold the mountain (Sinai) over their heads” [to coerce them to accept the Torah like He did for Israel.]</w:t>
      </w:r>
      <w:r>
        <w:rPr>
          <w:rFonts w:hint="cs"/>
          <w:rtl/>
        </w:rPr>
        <w:t xml:space="preserve"> </w:t>
      </w:r>
      <w:r>
        <w:t xml:space="preserve"> Hashem gave them the </w:t>
      </w:r>
      <w:r>
        <w:rPr>
          <w:i/>
          <w:iCs/>
        </w:rPr>
        <w:t>mitzva</w:t>
      </w:r>
      <w:r>
        <w:t xml:space="preserve"> of </w:t>
      </w:r>
      <w:proofErr w:type="spellStart"/>
      <w:r>
        <w:rPr>
          <w:i/>
          <w:iCs/>
        </w:rPr>
        <w:t>sukka</w:t>
      </w:r>
      <w:proofErr w:type="spellEnd"/>
      <w:r>
        <w:t xml:space="preserve"> as a test, and then He made it very hot, so that they kicked the </w:t>
      </w:r>
      <w:proofErr w:type="spellStart"/>
      <w:r>
        <w:rPr>
          <w:i/>
          <w:iCs/>
        </w:rPr>
        <w:t>sukka</w:t>
      </w:r>
      <w:proofErr w:type="spellEnd"/>
      <w:r>
        <w:t xml:space="preserve"> and left it. This is because one cannot effectively notice the difference between Israel and the nations by means of actual performance of the </w:t>
      </w:r>
      <w:r>
        <w:rPr>
          <w:i/>
          <w:iCs/>
        </w:rPr>
        <w:t>mitzvot</w:t>
      </w:r>
      <w:r>
        <w:t xml:space="preserve">. The difference is noticeable when the </w:t>
      </w:r>
      <w:r>
        <w:rPr>
          <w:i/>
          <w:iCs/>
        </w:rPr>
        <w:t>mitzva</w:t>
      </w:r>
      <w:r>
        <w:t xml:space="preserve"> is not fulfilled, such as when circumstances exempt people from it. When someone in Israel is unable to fulfill the </w:t>
      </w:r>
      <w:r>
        <w:rPr>
          <w:i/>
          <w:iCs/>
        </w:rPr>
        <w:t>mitzva</w:t>
      </w:r>
      <w:r>
        <w:t xml:space="preserve"> of </w:t>
      </w:r>
      <w:proofErr w:type="spellStart"/>
      <w:r>
        <w:rPr>
          <w:i/>
          <w:iCs/>
        </w:rPr>
        <w:t>sukka</w:t>
      </w:r>
      <w:proofErr w:type="spellEnd"/>
      <w:r>
        <w:rPr>
          <w:i/>
          <w:iCs/>
        </w:rPr>
        <w:t xml:space="preserve"> </w:t>
      </w:r>
      <w:r>
        <w:t xml:space="preserve">properly, e.g., it rains on the first night, he looks up in disappointment. He concludes that apparently Hashem does not want the person to serve Him in this way and waits in pain until the weather may improve and finally allow him to perform the </w:t>
      </w:r>
      <w:r>
        <w:rPr>
          <w:i/>
          <w:iCs/>
        </w:rPr>
        <w:t>mitzva</w:t>
      </w:r>
      <w:r>
        <w:t xml:space="preserve">. The holding of the mountain over our heads was just to awaken the focused desire to act. Due to this, one who is prevented from performing a </w:t>
      </w:r>
      <w:r>
        <w:rPr>
          <w:i/>
          <w:iCs/>
        </w:rPr>
        <w:t>mitzva</w:t>
      </w:r>
      <w:r>
        <w:t xml:space="preserve"> is not considered as if he performed it, which causes a Jew to be upset when he cannot perform it. The other nations kicked the </w:t>
      </w:r>
      <w:proofErr w:type="spellStart"/>
      <w:r>
        <w:rPr>
          <w:i/>
          <w:iCs/>
        </w:rPr>
        <w:t>sukka</w:t>
      </w:r>
      <w:proofErr w:type="spellEnd"/>
      <w:r>
        <w:t xml:space="preserve">, and were happy to be exempted from it, as they saw it as a heavy burden. The extenuating circumstances make him happy, as they enable him to finally get rid of the unpleasant obligation. </w:t>
      </w:r>
    </w:p>
    <w:p w14:paraId="6B811750" w14:textId="5268368C" w:rsidR="009D2684" w:rsidRDefault="009D2684" w:rsidP="009D2684">
      <w:pPr>
        <w:bidi w:val="0"/>
        <w:spacing w:line="276" w:lineRule="auto"/>
        <w:ind w:firstLine="450"/>
      </w:pPr>
    </w:p>
    <w:p w14:paraId="030174A7" w14:textId="77777777" w:rsidR="009D2684" w:rsidRPr="00857630" w:rsidRDefault="009D2684" w:rsidP="009D2684">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69898B08" w:rsidR="00D9393A" w:rsidRDefault="00D9393A" w:rsidP="00D9393A">
      <w:pPr>
        <w:bidi w:val="0"/>
        <w:ind w:firstLine="360"/>
        <w:rPr>
          <w:rtl/>
        </w:rPr>
      </w:pPr>
    </w:p>
    <w:p w14:paraId="64BA4ABB" w14:textId="19997E7F" w:rsidR="003E32F5" w:rsidRDefault="003E32F5" w:rsidP="003E32F5">
      <w:pPr>
        <w:bidi w:val="0"/>
        <w:ind w:firstLine="360"/>
      </w:pPr>
    </w:p>
    <w:p w14:paraId="4D9344BA" w14:textId="573F9791" w:rsidR="00CB5AD2" w:rsidRDefault="00CB5AD2" w:rsidP="00997CA0">
      <w:pPr>
        <w:bidi w:val="0"/>
        <w:ind w:firstLine="360"/>
        <w:rPr>
          <w:i/>
          <w:iCs/>
          <w:color w:val="D85640"/>
        </w:rPr>
      </w:pPr>
    </w:p>
    <w:p w14:paraId="140850BD" w14:textId="7C1E8905" w:rsidR="00E74F58" w:rsidRDefault="00E74F58" w:rsidP="00E74F58">
      <w:pPr>
        <w:pStyle w:val="Heading2"/>
        <w:bidi w:val="0"/>
        <w:spacing w:before="0" w:after="0"/>
        <w:rPr>
          <w:i w:val="0"/>
          <w:iCs w:val="0"/>
          <w:color w:val="D85640"/>
        </w:rPr>
      </w:pPr>
      <w:r w:rsidRPr="00E74F58">
        <w:rPr>
          <w:i w:val="0"/>
          <w:iCs w:val="0"/>
          <w:noProof/>
        </w:rPr>
        <w:lastRenderedPageBreak/>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3C5875" w14:textId="385F2232" w:rsidR="00E74F58" w:rsidRPr="00E74F58" w:rsidRDefault="00E74F58" w:rsidP="00E74F58">
      <w:pPr>
        <w:pStyle w:val="Heading2"/>
        <w:bidi w:val="0"/>
        <w:spacing w:before="0" w:after="0"/>
        <w:rPr>
          <w:rFonts w:hint="cs"/>
          <w:i w:val="0"/>
          <w:iCs w:val="0"/>
          <w:sz w:val="20"/>
          <w:rtl/>
        </w:rPr>
      </w:pPr>
      <w:r w:rsidRPr="00E74F58">
        <w:rPr>
          <w:i w:val="0"/>
          <w:iCs w:val="0"/>
          <w:color w:val="D85640"/>
        </w:rPr>
        <w:t xml:space="preserve">Multiple Agreements and Parties – part </w:t>
      </w:r>
      <w:r w:rsidR="00B21F18">
        <w:rPr>
          <w:i w:val="0"/>
          <w:iCs w:val="0"/>
          <w:color w:val="D85640"/>
        </w:rPr>
        <w:t>I</w:t>
      </w:r>
      <w:r w:rsidRPr="00E74F58">
        <w:rPr>
          <w:i w:val="0"/>
          <w:iCs w:val="0"/>
          <w:color w:val="D85640"/>
        </w:rPr>
        <w:t>I</w:t>
      </w:r>
      <w:r w:rsidR="00274012">
        <w:rPr>
          <w:i w:val="0"/>
          <w:iCs w:val="0"/>
          <w:color w:val="D85640"/>
        </w:rPr>
        <w:t>I</w:t>
      </w:r>
      <w:r w:rsidRPr="00E74F58">
        <w:rPr>
          <w:i w:val="0"/>
          <w:iCs w:val="0"/>
          <w:color w:val="D85640"/>
        </w:rPr>
        <w:t xml:space="preserve"> </w:t>
      </w:r>
      <w:r w:rsidRPr="00E74F58">
        <w:rPr>
          <w:i w:val="0"/>
          <w:iCs w:val="0"/>
          <w:sz w:val="20"/>
        </w:rPr>
        <w:t xml:space="preserve"> </w:t>
      </w:r>
    </w:p>
    <w:p w14:paraId="371A56E6" w14:textId="77777777" w:rsidR="00E74F58" w:rsidRPr="00E74F58" w:rsidRDefault="00E74F58" w:rsidP="00E74F58">
      <w:pPr>
        <w:pStyle w:val="Heading2"/>
        <w:bidi w:val="0"/>
        <w:spacing w:before="0" w:after="0"/>
        <w:rPr>
          <w:b w:val="0"/>
          <w:bCs w:val="0"/>
          <w:i w:val="0"/>
          <w:iCs w:val="0"/>
          <w:sz w:val="22"/>
          <w:szCs w:val="18"/>
        </w:rPr>
      </w:pPr>
      <w:r w:rsidRPr="00E74F58">
        <w:rPr>
          <w:b w:val="0"/>
          <w:bCs w:val="0"/>
          <w:i w:val="0"/>
          <w:iCs w:val="0"/>
          <w:sz w:val="20"/>
        </w:rPr>
        <w:t>(</w:t>
      </w:r>
      <w:proofErr w:type="gramStart"/>
      <w:r w:rsidRPr="00E74F58">
        <w:rPr>
          <w:b w:val="0"/>
          <w:bCs w:val="0"/>
          <w:i w:val="0"/>
          <w:iCs w:val="0"/>
          <w:sz w:val="20"/>
        </w:rPr>
        <w:t>based</w:t>
      </w:r>
      <w:proofErr w:type="gramEnd"/>
      <w:r w:rsidRPr="00E74F58">
        <w:rPr>
          <w:b w:val="0"/>
          <w:bCs w:val="0"/>
          <w:i w:val="0"/>
          <w:iCs w:val="0"/>
          <w:sz w:val="20"/>
        </w:rPr>
        <w:t xml:space="preserve"> on ruling 80082 of the Eretz Hemdah-</w:t>
      </w:r>
      <w:proofErr w:type="spellStart"/>
      <w:r w:rsidRPr="00E74F58">
        <w:rPr>
          <w:b w:val="0"/>
          <w:bCs w:val="0"/>
          <w:i w:val="0"/>
          <w:iCs w:val="0"/>
          <w:sz w:val="20"/>
        </w:rPr>
        <w:t>Gazit</w:t>
      </w:r>
      <w:proofErr w:type="spellEnd"/>
      <w:r w:rsidRPr="00E74F58">
        <w:rPr>
          <w:b w:val="0"/>
          <w:bCs w:val="0"/>
          <w:i w:val="0"/>
          <w:iCs w:val="0"/>
          <w:sz w:val="20"/>
        </w:rPr>
        <w:t xml:space="preserve"> Rabbinical Courts)</w:t>
      </w:r>
    </w:p>
    <w:p w14:paraId="08847998" w14:textId="77777777" w:rsidR="00E74F58" w:rsidRPr="006C633B" w:rsidRDefault="00E74F58" w:rsidP="00E74F58">
      <w:pPr>
        <w:bidi w:val="0"/>
        <w:rPr>
          <w:sz w:val="24"/>
        </w:rPr>
      </w:pPr>
    </w:p>
    <w:p w14:paraId="34AFB022" w14:textId="77777777" w:rsidR="00274012" w:rsidRPr="009E24C3" w:rsidRDefault="00274012" w:rsidP="00274012">
      <w:pPr>
        <w:bidi w:val="0"/>
        <w:spacing w:line="276" w:lineRule="auto"/>
      </w:pPr>
      <w:r w:rsidRPr="0024039C">
        <w:rPr>
          <w:b/>
          <w:bCs/>
          <w:color w:val="D85640"/>
          <w:sz w:val="24"/>
          <w:u w:val="single"/>
        </w:rPr>
        <w:t>Case</w:t>
      </w:r>
      <w:r w:rsidRPr="0024039C">
        <w:rPr>
          <w:b/>
          <w:bCs/>
          <w:color w:val="D85640"/>
          <w:sz w:val="24"/>
        </w:rPr>
        <w:t>:</w:t>
      </w:r>
      <w:r>
        <w:t xml:space="preserve"> The plaintiff (=</w:t>
      </w:r>
      <w:r>
        <w:rPr>
          <w:i/>
          <w:iCs/>
        </w:rPr>
        <w:t>pl</w:t>
      </w:r>
      <w:r>
        <w:t>) worked on a “</w:t>
      </w:r>
      <w:proofErr w:type="spellStart"/>
      <w:r>
        <w:t>Tama</w:t>
      </w:r>
      <w:proofErr w:type="spellEnd"/>
      <w:r>
        <w:t xml:space="preserve"> 38” building project (refurbishing and expanding a building in return for rights to the new apartments) on behalf of </w:t>
      </w:r>
      <w:r>
        <w:rPr>
          <w:i/>
          <w:iCs/>
        </w:rPr>
        <w:t>def1</w:t>
      </w:r>
      <w:r>
        <w:t>, who had rights over the project. Later</w:t>
      </w:r>
      <w:r>
        <w:rPr>
          <w:i/>
          <w:iCs/>
        </w:rPr>
        <w:t>, def1</w:t>
      </w:r>
      <w:r>
        <w:t xml:space="preserve"> formed a partnership (=</w:t>
      </w:r>
      <w:r>
        <w:rPr>
          <w:i/>
          <w:iCs/>
        </w:rPr>
        <w:t>def</w:t>
      </w:r>
      <w:r>
        <w:t>)</w:t>
      </w:r>
      <w:r>
        <w:rPr>
          <w:i/>
          <w:iCs/>
        </w:rPr>
        <w:t xml:space="preserve"> </w:t>
      </w:r>
      <w:r>
        <w:t>with her lawyer (=</w:t>
      </w:r>
      <w:r>
        <w:rPr>
          <w:i/>
          <w:iCs/>
        </w:rPr>
        <w:t>def2</w:t>
      </w:r>
      <w:r>
        <w:t xml:space="preserve">) and </w:t>
      </w:r>
      <w:r>
        <w:rPr>
          <w:i/>
          <w:iCs/>
        </w:rPr>
        <w:t>def3</w:t>
      </w:r>
      <w:r>
        <w:t xml:space="preserve">, and </w:t>
      </w:r>
      <w:r>
        <w:rPr>
          <w:i/>
          <w:iCs/>
        </w:rPr>
        <w:t xml:space="preserve">pl </w:t>
      </w:r>
      <w:r>
        <w:t>helped them get the homeowners</w:t>
      </w:r>
      <w:r>
        <w:rPr>
          <w:i/>
          <w:iCs/>
        </w:rPr>
        <w:t xml:space="preserve"> </w:t>
      </w:r>
      <w:r>
        <w:t xml:space="preserve">and municipality to accept the building plan. The building has not been done yet. </w:t>
      </w:r>
      <w:r>
        <w:rPr>
          <w:i/>
          <w:iCs/>
        </w:rPr>
        <w:t>Pl</w:t>
      </w:r>
      <w:r>
        <w:t xml:space="preserve"> was involved in four agreements – sales agreements to buy a new apartment at a subsidy and fee agreement, each initially with </w:t>
      </w:r>
      <w:r>
        <w:rPr>
          <w:i/>
          <w:iCs/>
        </w:rPr>
        <w:t>def1</w:t>
      </w:r>
      <w:r>
        <w:t xml:space="preserve"> and later ostensibly with </w:t>
      </w:r>
      <w:r>
        <w:rPr>
          <w:i/>
          <w:iCs/>
        </w:rPr>
        <w:t>def</w:t>
      </w:r>
      <w:r>
        <w:t xml:space="preserve">. </w:t>
      </w:r>
      <w:r>
        <w:rPr>
          <w:i/>
          <w:iCs/>
        </w:rPr>
        <w:t>Pl</w:t>
      </w:r>
      <w:r>
        <w:t xml:space="preserve"> demands his fee; </w:t>
      </w:r>
      <w:r>
        <w:rPr>
          <w:i/>
          <w:iCs/>
        </w:rPr>
        <w:t>def</w:t>
      </w:r>
      <w:r>
        <w:t xml:space="preserve"> has various claims against the agreements – lack of necessary signatures, </w:t>
      </w:r>
      <w:r>
        <w:rPr>
          <w:i/>
          <w:iCs/>
        </w:rPr>
        <w:t>pl</w:t>
      </w:r>
      <w:r>
        <w:t>’s breach of agreement. [</w:t>
      </w:r>
      <w:r w:rsidRPr="00AE2C32">
        <w:rPr>
          <w:i/>
          <w:iCs/>
        </w:rPr>
        <w:t>Beit din accepted all of the agreements</w:t>
      </w:r>
      <w:r>
        <w:rPr>
          <w:i/>
          <w:iCs/>
        </w:rPr>
        <w:t>, as discussed in previous installments, and def appealed. We will present the points of the appeal that were granted.</w:t>
      </w:r>
      <w:r>
        <w:t>]</w:t>
      </w:r>
    </w:p>
    <w:p w14:paraId="5304C544" w14:textId="77777777" w:rsidR="00274012" w:rsidRPr="00561B28" w:rsidRDefault="00274012" w:rsidP="00274012">
      <w:pPr>
        <w:bidi w:val="0"/>
        <w:spacing w:line="276" w:lineRule="auto"/>
        <w:rPr>
          <w:sz w:val="22"/>
          <w:szCs w:val="22"/>
        </w:rPr>
      </w:pPr>
      <w:r>
        <w:t xml:space="preserve">  </w:t>
      </w:r>
    </w:p>
    <w:p w14:paraId="7910B564" w14:textId="77777777" w:rsidR="00274012" w:rsidRDefault="00274012" w:rsidP="00274012">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rPr>
          <w:b/>
          <w:bCs/>
        </w:rPr>
        <w:t xml:space="preserve">Second fee agreement: </w:t>
      </w:r>
      <w:r w:rsidRPr="00A6525E">
        <w:rPr>
          <w:i/>
          <w:iCs/>
        </w:rPr>
        <w:t>Beit</w:t>
      </w:r>
      <w:r>
        <w:rPr>
          <w:i/>
          <w:iCs/>
        </w:rPr>
        <w:t xml:space="preserve"> din </w:t>
      </w:r>
      <w:r>
        <w:t xml:space="preserve">concluded that the agreement, when completed without </w:t>
      </w:r>
      <w:r>
        <w:rPr>
          <w:i/>
          <w:iCs/>
        </w:rPr>
        <w:t>def3</w:t>
      </w:r>
      <w:r>
        <w:t xml:space="preserve">’s signature was invalid, but that </w:t>
      </w:r>
      <w:r>
        <w:rPr>
          <w:i/>
          <w:iCs/>
        </w:rPr>
        <w:t>def3</w:t>
      </w:r>
      <w:r>
        <w:t xml:space="preserve">’s behavior confirmed his acceptance of the agreement. We disagree. From communications between </w:t>
      </w:r>
      <w:r>
        <w:rPr>
          <w:i/>
          <w:iCs/>
        </w:rPr>
        <w:t>pl</w:t>
      </w:r>
      <w:r>
        <w:t xml:space="preserve"> and </w:t>
      </w:r>
      <w:r>
        <w:rPr>
          <w:i/>
          <w:iCs/>
        </w:rPr>
        <w:t>def3</w:t>
      </w:r>
      <w:r>
        <w:t xml:space="preserve">, it is clear that what </w:t>
      </w:r>
      <w:r>
        <w:rPr>
          <w:i/>
          <w:iCs/>
        </w:rPr>
        <w:t>def3</w:t>
      </w:r>
      <w:r>
        <w:t xml:space="preserve"> helped </w:t>
      </w:r>
      <w:r>
        <w:rPr>
          <w:i/>
          <w:iCs/>
        </w:rPr>
        <w:t>pl</w:t>
      </w:r>
      <w:r>
        <w:t xml:space="preserve"> with was a document that </w:t>
      </w:r>
      <w:r>
        <w:rPr>
          <w:i/>
          <w:iCs/>
        </w:rPr>
        <w:t xml:space="preserve">def1 </w:t>
      </w:r>
      <w:r>
        <w:t xml:space="preserve">and </w:t>
      </w:r>
      <w:r>
        <w:rPr>
          <w:i/>
          <w:iCs/>
        </w:rPr>
        <w:t>def2</w:t>
      </w:r>
      <w:r>
        <w:t xml:space="preserve"> would view as obligatory, so that </w:t>
      </w:r>
      <w:r>
        <w:rPr>
          <w:i/>
          <w:iCs/>
        </w:rPr>
        <w:t>def2</w:t>
      </w:r>
      <w:r>
        <w:t xml:space="preserve"> would give </w:t>
      </w:r>
      <w:r>
        <w:rPr>
          <w:i/>
          <w:iCs/>
        </w:rPr>
        <w:t>def1</w:t>
      </w:r>
      <w:r>
        <w:t>’s</w:t>
      </w:r>
      <w:r>
        <w:rPr>
          <w:i/>
          <w:iCs/>
        </w:rPr>
        <w:t xml:space="preserve"> </w:t>
      </w:r>
      <w:r>
        <w:t xml:space="preserve">money to </w:t>
      </w:r>
      <w:r>
        <w:rPr>
          <w:i/>
          <w:iCs/>
        </w:rPr>
        <w:t>pl</w:t>
      </w:r>
      <w:r>
        <w:t xml:space="preserve">. Had </w:t>
      </w:r>
      <w:r>
        <w:rPr>
          <w:i/>
          <w:iCs/>
        </w:rPr>
        <w:t xml:space="preserve">def3 </w:t>
      </w:r>
      <w:r>
        <w:t xml:space="preserve">agreed to obligate </w:t>
      </w:r>
      <w:r>
        <w:rPr>
          <w:i/>
          <w:iCs/>
        </w:rPr>
        <w:t>def</w:t>
      </w:r>
      <w:r>
        <w:t xml:space="preserve">, he would have just signed the agreement, which he told </w:t>
      </w:r>
      <w:r>
        <w:rPr>
          <w:i/>
          <w:iCs/>
        </w:rPr>
        <w:t>pl</w:t>
      </w:r>
      <w:r>
        <w:t xml:space="preserve"> that he refused to do. Indeed, this was a dishonest maneuver of both </w:t>
      </w:r>
      <w:r>
        <w:rPr>
          <w:i/>
          <w:iCs/>
        </w:rPr>
        <w:t>pl</w:t>
      </w:r>
      <w:r>
        <w:t xml:space="preserve"> and </w:t>
      </w:r>
      <w:r>
        <w:rPr>
          <w:i/>
          <w:iCs/>
        </w:rPr>
        <w:t>def3</w:t>
      </w:r>
      <w:r>
        <w:t xml:space="preserve">. This is different from the situation regarding the second sales agreement, as promoting that agreement must by force affect all the partners of </w:t>
      </w:r>
      <w:r>
        <w:rPr>
          <w:i/>
          <w:iCs/>
        </w:rPr>
        <w:t>def</w:t>
      </w:r>
      <w:r>
        <w:t xml:space="preserve">, so that </w:t>
      </w:r>
      <w:r>
        <w:rPr>
          <w:i/>
          <w:iCs/>
        </w:rPr>
        <w:t>def3</w:t>
      </w:r>
      <w:r>
        <w:t xml:space="preserve">’s participation shows his agreement. </w:t>
      </w:r>
      <w:r>
        <w:rPr>
          <w:i/>
          <w:iCs/>
        </w:rPr>
        <w:t>Beit din</w:t>
      </w:r>
      <w:r>
        <w:t xml:space="preserve"> also relied on </w:t>
      </w:r>
      <w:proofErr w:type="spellStart"/>
      <w:r>
        <w:rPr>
          <w:i/>
          <w:iCs/>
        </w:rPr>
        <w:t>def</w:t>
      </w:r>
      <w:r>
        <w:t>’s</w:t>
      </w:r>
      <w:proofErr w:type="spellEnd"/>
      <w:r>
        <w:t xml:space="preserve"> meeting minutes, which served as a way to accept the fee agreement. However, there is no indication, including the signature of someone other than </w:t>
      </w:r>
      <w:r>
        <w:rPr>
          <w:i/>
          <w:iCs/>
        </w:rPr>
        <w:t>def3</w:t>
      </w:r>
      <w:r>
        <w:t xml:space="preserve">, that </w:t>
      </w:r>
      <w:r>
        <w:rPr>
          <w:i/>
          <w:iCs/>
        </w:rPr>
        <w:t>def3</w:t>
      </w:r>
      <w:r>
        <w:t xml:space="preserve"> was part of the meeting’s decision. (Parenthetically, </w:t>
      </w:r>
      <w:r w:rsidRPr="00AB2860">
        <w:rPr>
          <w:i/>
          <w:iCs/>
        </w:rPr>
        <w:t>def</w:t>
      </w:r>
      <w:r>
        <w:t xml:space="preserve"> claimed that the fee in the agreement is exaggerated, but this is not needed operatively because we have rejected the agreement’s validity anyway.) </w:t>
      </w:r>
    </w:p>
    <w:p w14:paraId="110BA88E" w14:textId="77777777" w:rsidR="00274012" w:rsidRPr="00AE7EDD" w:rsidRDefault="00274012" w:rsidP="00274012">
      <w:pPr>
        <w:bidi w:val="0"/>
        <w:spacing w:line="276" w:lineRule="auto"/>
      </w:pPr>
      <w:r>
        <w:rPr>
          <w:b/>
          <w:bCs/>
        </w:rPr>
        <w:t xml:space="preserve">First fee agreement: </w:t>
      </w:r>
      <w:r>
        <w:rPr>
          <w:i/>
          <w:iCs/>
        </w:rPr>
        <w:t xml:space="preserve">Beit din </w:t>
      </w:r>
      <w:r>
        <w:t xml:space="preserve">reasoned that even though the second fee agreement is invalid, it is clear that </w:t>
      </w:r>
      <w:r>
        <w:rPr>
          <w:i/>
          <w:iCs/>
        </w:rPr>
        <w:t>pl</w:t>
      </w:r>
      <w:r>
        <w:t xml:space="preserve"> needs to be paid for the work he did, and therefore one can rely on the first fee agreement between </w:t>
      </w:r>
      <w:r>
        <w:rPr>
          <w:i/>
          <w:iCs/>
        </w:rPr>
        <w:t>pl</w:t>
      </w:r>
      <w:r>
        <w:t xml:space="preserve"> and </w:t>
      </w:r>
      <w:r>
        <w:rPr>
          <w:i/>
          <w:iCs/>
        </w:rPr>
        <w:t>def1</w:t>
      </w:r>
      <w:r>
        <w:t xml:space="preserve">. However, we do not accept the validity of that agreement because </w:t>
      </w:r>
      <w:r>
        <w:rPr>
          <w:i/>
          <w:iCs/>
        </w:rPr>
        <w:t>pl</w:t>
      </w:r>
      <w:r>
        <w:t xml:space="preserve">’s signature does not appear on it. Therefore, we are left with the sales agreement, which gives </w:t>
      </w:r>
      <w:r>
        <w:rPr>
          <w:i/>
          <w:iCs/>
        </w:rPr>
        <w:t>pl</w:t>
      </w:r>
      <w:r>
        <w:t xml:space="preserve"> a significant discount on an apartment. Beyond that, we return the matter to </w:t>
      </w:r>
      <w:proofErr w:type="spellStart"/>
      <w:r>
        <w:rPr>
          <w:i/>
          <w:iCs/>
        </w:rPr>
        <w:t>beit</w:t>
      </w:r>
      <w:proofErr w:type="spellEnd"/>
      <w:r>
        <w:rPr>
          <w:i/>
          <w:iCs/>
        </w:rPr>
        <w:t xml:space="preserve"> din</w:t>
      </w:r>
      <w:r>
        <w:t xml:space="preserve"> to determine what other further fee </w:t>
      </w:r>
      <w:r>
        <w:rPr>
          <w:i/>
          <w:iCs/>
        </w:rPr>
        <w:t>pl</w:t>
      </w:r>
      <w:r>
        <w:t xml:space="preserve"> is entitled to.</w:t>
      </w:r>
    </w:p>
    <w:p w14:paraId="73E71400" w14:textId="77777777" w:rsidR="00DB58A7" w:rsidRPr="00561B28" w:rsidRDefault="00DB58A7" w:rsidP="00E74F58">
      <w:pPr>
        <w:bidi w:val="0"/>
        <w:rPr>
          <w:sz w:val="22"/>
          <w:szCs w:val="22"/>
        </w:rPr>
      </w:pPr>
      <w:r>
        <w:t xml:space="preserve">  </w:t>
      </w:r>
    </w:p>
    <w:p w14:paraId="1F09FB13" w14:textId="1F5CA570" w:rsidR="00997CA0" w:rsidRDefault="00997CA0" w:rsidP="00C014F8">
      <w:pPr>
        <w:pStyle w:val="PlainText"/>
        <w:jc w:val="both"/>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274012"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4E5D6F92"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6B5B4D">
      <w:rPr>
        <w:b/>
        <w:bCs/>
        <w:color w:val="D85640"/>
        <w:sz w:val="26"/>
        <w:szCs w:val="26"/>
      </w:rPr>
      <w:t>Vayigash</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926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926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2836</Words>
  <Characters>14375</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17177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3</cp:revision>
  <cp:lastPrinted>2025-11-27T13:28:00Z</cp:lastPrinted>
  <dcterms:created xsi:type="dcterms:W3CDTF">2025-11-27T14:32:00Z</dcterms:created>
  <dcterms:modified xsi:type="dcterms:W3CDTF">2025-11-27T15:21:00Z</dcterms:modified>
</cp:coreProperties>
</file>