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1"/>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1"/>
              <w:bidi w:val="0"/>
              <w:spacing w:after="0" w:line="240" w:lineRule="auto"/>
              <w:ind w:left="33"/>
              <w:rPr>
                <w:szCs w:val="20"/>
                <w:highlight w:val="yellow"/>
              </w:rPr>
            </w:pPr>
          </w:p>
          <w:p w14:paraId="053B3C78" w14:textId="77777777" w:rsidR="00AC60DB" w:rsidRDefault="00AC60DB" w:rsidP="002B4B02">
            <w:pPr>
              <w:pStyle w:val="1f1"/>
              <w:bidi w:val="0"/>
              <w:spacing w:after="0" w:line="240" w:lineRule="auto"/>
              <w:ind w:left="33"/>
              <w:rPr>
                <w:szCs w:val="20"/>
                <w:highlight w:val="yellow"/>
              </w:rPr>
            </w:pPr>
          </w:p>
          <w:p w14:paraId="4C8B6F61" w14:textId="77777777" w:rsidR="00AC60DB" w:rsidRDefault="00AC60DB" w:rsidP="002B4B02">
            <w:pPr>
              <w:pStyle w:val="1f1"/>
              <w:bidi w:val="0"/>
              <w:spacing w:after="0" w:line="240" w:lineRule="auto"/>
              <w:ind w:left="33"/>
              <w:rPr>
                <w:szCs w:val="20"/>
                <w:highlight w:val="yellow"/>
              </w:rPr>
            </w:pPr>
          </w:p>
          <w:p w14:paraId="1C3CC763" w14:textId="77777777" w:rsidR="00AC60DB" w:rsidRDefault="00AC60DB" w:rsidP="002B4B02">
            <w:pPr>
              <w:pStyle w:val="1f1"/>
              <w:bidi w:val="0"/>
              <w:spacing w:after="0" w:line="240" w:lineRule="auto"/>
              <w:ind w:left="33"/>
              <w:rPr>
                <w:szCs w:val="20"/>
                <w:highlight w:val="yellow"/>
              </w:rPr>
            </w:pPr>
          </w:p>
          <w:p w14:paraId="62B9F110" w14:textId="77777777" w:rsidR="00731DDC" w:rsidRPr="001443B6" w:rsidRDefault="00731DDC" w:rsidP="002B4B02">
            <w:pPr>
              <w:pStyle w:val="1f1"/>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09CDFB5"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651A65">
              <w:rPr>
                <w:b/>
                <w:bCs/>
                <w:color w:val="D85640"/>
                <w:sz w:val="28"/>
                <w:szCs w:val="28"/>
              </w:rPr>
              <w:t>Yitro</w:t>
            </w:r>
            <w:r w:rsidR="00563D69" w:rsidRPr="008326B2">
              <w:rPr>
                <w:b/>
                <w:bCs/>
                <w:color w:val="D85640"/>
                <w:sz w:val="28"/>
                <w:szCs w:val="28"/>
              </w:rPr>
              <w:t>,</w:t>
            </w:r>
            <w:r w:rsidR="00DB429E" w:rsidRPr="008326B2">
              <w:rPr>
                <w:b/>
                <w:bCs/>
                <w:color w:val="D85640"/>
                <w:sz w:val="28"/>
                <w:szCs w:val="28"/>
              </w:rPr>
              <w:t xml:space="preserve"> </w:t>
            </w:r>
            <w:r w:rsidR="001D4DD0">
              <w:rPr>
                <w:b/>
                <w:bCs/>
                <w:color w:val="D85640"/>
                <w:sz w:val="28"/>
                <w:szCs w:val="28"/>
              </w:rPr>
              <w:t xml:space="preserve">Shevat </w:t>
            </w:r>
            <w:r w:rsidR="00651A65">
              <w:rPr>
                <w:b/>
                <w:bCs/>
                <w:color w:val="D85640"/>
                <w:sz w:val="28"/>
                <w:szCs w:val="28"/>
              </w:rPr>
              <w:t>20</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98A997A" w14:textId="7C64655D" w:rsidR="00462D70" w:rsidRDefault="00462D70" w:rsidP="00462D70">
            <w:pPr>
              <w:bidi w:val="0"/>
              <w:jc w:val="center"/>
              <w:rPr>
                <w:color w:val="002060"/>
              </w:rPr>
            </w:pPr>
            <w:r>
              <w:rPr>
                <w:b/>
                <w:bCs/>
                <w:color w:val="002060"/>
                <w:sz w:val="28"/>
                <w:szCs w:val="28"/>
              </w:rPr>
              <w:t>Rachel, Leah, and King David – What Happened? – part II</w:t>
            </w:r>
            <w:r w:rsidR="00F92E2F">
              <w:rPr>
                <w:b/>
                <w:bCs/>
                <w:color w:val="002060"/>
                <w:sz w:val="28"/>
                <w:szCs w:val="28"/>
              </w:rPr>
              <w:t>I</w:t>
            </w:r>
            <w:r>
              <w:rPr>
                <w:color w:val="002060"/>
              </w:rPr>
              <w:t xml:space="preserve"> </w:t>
            </w:r>
          </w:p>
          <w:p w14:paraId="254F3F25" w14:textId="77777777" w:rsidR="00E809CB" w:rsidRPr="001834E1" w:rsidRDefault="00E809CB" w:rsidP="00E809CB">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AA35C19" w14:textId="77777777" w:rsidR="00F92E2F" w:rsidRDefault="00F92E2F" w:rsidP="00504A02">
      <w:pPr>
        <w:bidi w:val="0"/>
        <w:spacing w:line="276" w:lineRule="auto"/>
        <w:ind w:firstLine="426"/>
      </w:pPr>
      <w:r>
        <w:t xml:space="preserve">We continue to focus on the importance of unity between the offspring of Rachel and of Leah and continue with David’s attempts at helping create it. We saw that there was hope of unity in the leadership with Yonatan and with his wife Michal, both children of Shaul, but that neither worked, for very different reasons. </w:t>
      </w:r>
    </w:p>
    <w:p w14:paraId="5810FD5A" w14:textId="77777777" w:rsidR="00F92E2F" w:rsidRDefault="00F92E2F" w:rsidP="00504A02">
      <w:pPr>
        <w:bidi w:val="0"/>
        <w:spacing w:line="276" w:lineRule="auto"/>
        <w:ind w:firstLine="426"/>
      </w:pPr>
      <w:r>
        <w:t xml:space="preserve">Going back to the aftermath of the death of Shaul and Yonatan on Mt. Gilboa, Avner, </w:t>
      </w:r>
      <w:proofErr w:type="spellStart"/>
      <w:r>
        <w:t>Shaul’s</w:t>
      </w:r>
      <w:proofErr w:type="spellEnd"/>
      <w:r>
        <w:t xml:space="preserve"> cousin, and </w:t>
      </w:r>
      <w:proofErr w:type="spellStart"/>
      <w:r>
        <w:t>Ish</w:t>
      </w:r>
      <w:proofErr w:type="spellEnd"/>
      <w:r>
        <w:t xml:space="preserve"> </w:t>
      </w:r>
      <w:proofErr w:type="spellStart"/>
      <w:r>
        <w:t>Boshet</w:t>
      </w:r>
      <w:proofErr w:type="spellEnd"/>
      <w:r>
        <w:t xml:space="preserve">, </w:t>
      </w:r>
      <w:proofErr w:type="spellStart"/>
      <w:r>
        <w:t>Shaul’s</w:t>
      </w:r>
      <w:proofErr w:type="spellEnd"/>
      <w:r>
        <w:t xml:space="preserve"> weak son, were both killed. What was left of the family was Yonatan’s son </w:t>
      </w:r>
      <w:proofErr w:type="spellStart"/>
      <w:r>
        <w:t>M’fiboshet</w:t>
      </w:r>
      <w:proofErr w:type="spellEnd"/>
      <w:r>
        <w:t xml:space="preserve">. </w:t>
      </w:r>
      <w:proofErr w:type="spellStart"/>
      <w:r>
        <w:t>M’fiboshet</w:t>
      </w:r>
      <w:proofErr w:type="spellEnd"/>
      <w:r>
        <w:t xml:space="preserve"> could have represented the children of Rachel in a supportive role for David, the descendant of Leah. </w:t>
      </w:r>
    </w:p>
    <w:p w14:paraId="1ED45078" w14:textId="77777777" w:rsidR="00F92E2F" w:rsidRDefault="00F92E2F" w:rsidP="00504A02">
      <w:pPr>
        <w:bidi w:val="0"/>
        <w:spacing w:line="276" w:lineRule="auto"/>
        <w:ind w:firstLine="426"/>
      </w:pPr>
      <w:r>
        <w:t xml:space="preserve">Let us remember who </w:t>
      </w:r>
      <w:proofErr w:type="spellStart"/>
      <w:r>
        <w:t>M’fiboshet</w:t>
      </w:r>
      <w:proofErr w:type="spellEnd"/>
      <w:r>
        <w:t xml:space="preserve"> was. When word came back that Shaul and Yonatan had fallen in battle, </w:t>
      </w:r>
      <w:proofErr w:type="spellStart"/>
      <w:r>
        <w:t>M’fiboshet’s</w:t>
      </w:r>
      <w:proofErr w:type="spellEnd"/>
      <w:r>
        <w:t xml:space="preserve"> nanny fled in panic with him, and in the process </w:t>
      </w:r>
      <w:proofErr w:type="spellStart"/>
      <w:r>
        <w:t>M’fiboshet</w:t>
      </w:r>
      <w:proofErr w:type="spellEnd"/>
      <w:r>
        <w:t xml:space="preserve"> fell and was crippled (Shmuel II, 4:4). </w:t>
      </w:r>
      <w:proofErr w:type="spellStart"/>
      <w:r>
        <w:t>M’fiboshet</w:t>
      </w:r>
      <w:proofErr w:type="spellEnd"/>
      <w:r>
        <w:t xml:space="preserve"> was hidden east of the Jordan to protect him from the </w:t>
      </w:r>
      <w:proofErr w:type="spellStart"/>
      <w:r>
        <w:t>Plishtim</w:t>
      </w:r>
      <w:proofErr w:type="spellEnd"/>
      <w:r>
        <w:t xml:space="preserve"> and perhaps, unnecessarily, from David. Actually, when David removed the threat of the </w:t>
      </w:r>
      <w:proofErr w:type="spellStart"/>
      <w:r>
        <w:t>Plishtim</w:t>
      </w:r>
      <w:proofErr w:type="spellEnd"/>
      <w:r>
        <w:t xml:space="preserve"> and entered </w:t>
      </w:r>
      <w:proofErr w:type="spellStart"/>
      <w:r>
        <w:t>Yerushalayim</w:t>
      </w:r>
      <w:proofErr w:type="spellEnd"/>
      <w:r>
        <w:t xml:space="preserve">, he tried to ascertain what happened to the remnants of Yonatan’s family, and he looked to return the favor of Yonatan’s kindness (ibid. 9:1). </w:t>
      </w:r>
    </w:p>
    <w:p w14:paraId="521FDF37" w14:textId="77777777" w:rsidR="00F92E2F" w:rsidRDefault="00F92E2F" w:rsidP="00504A02">
      <w:pPr>
        <w:bidi w:val="0"/>
        <w:spacing w:line="276" w:lineRule="auto"/>
        <w:ind w:firstLine="426"/>
      </w:pPr>
      <w:r>
        <w:t xml:space="preserve">With this in mind, David met with </w:t>
      </w:r>
      <w:proofErr w:type="spellStart"/>
      <w:r>
        <w:t>Tziva</w:t>
      </w:r>
      <w:proofErr w:type="spellEnd"/>
      <w:r>
        <w:t xml:space="preserve">, the custodian of </w:t>
      </w:r>
      <w:proofErr w:type="spellStart"/>
      <w:r>
        <w:t>Shaul’s</w:t>
      </w:r>
      <w:proofErr w:type="spellEnd"/>
      <w:r>
        <w:t xml:space="preserve"> estate. David asked him who from the family was left to whom David could be kind (ibid. 3). However, </w:t>
      </w:r>
      <w:proofErr w:type="spellStart"/>
      <w:r>
        <w:t>Tziva</w:t>
      </w:r>
      <w:proofErr w:type="spellEnd"/>
      <w:r>
        <w:t xml:space="preserve"> wanted to maintain control of the estate and therefore used two pieces of negative characterization to keep </w:t>
      </w:r>
      <w:proofErr w:type="spellStart"/>
      <w:r>
        <w:t>M’fiboshet</w:t>
      </w:r>
      <w:proofErr w:type="spellEnd"/>
      <w:r>
        <w:t xml:space="preserve"> from getting close to David. He stressed that </w:t>
      </w:r>
      <w:proofErr w:type="spellStart"/>
      <w:r>
        <w:t>M’fiboshet</w:t>
      </w:r>
      <w:proofErr w:type="spellEnd"/>
      <w:r>
        <w:t xml:space="preserve"> was crippled, implying that he was incapable of being a partner in David’s leadership, as the cornerstone of a leader is to be able to lead men into battle. (We note that even in 20</w:t>
      </w:r>
      <w:r>
        <w:rPr>
          <w:vertAlign w:val="superscript"/>
        </w:rPr>
        <w:t>th</w:t>
      </w:r>
      <w:r>
        <w:t xml:space="preserve"> century America, President Roosevelt went to great lengths to hide his physical disability.)</w:t>
      </w:r>
    </w:p>
    <w:p w14:paraId="2BC30FBB" w14:textId="77777777" w:rsidR="00F92E2F" w:rsidRDefault="00F92E2F" w:rsidP="00504A02">
      <w:pPr>
        <w:bidi w:val="0"/>
        <w:spacing w:line="276" w:lineRule="auto"/>
        <w:ind w:firstLine="426"/>
      </w:pPr>
      <w:r>
        <w:t xml:space="preserve">The second thing is that </w:t>
      </w:r>
      <w:proofErr w:type="spellStart"/>
      <w:r>
        <w:t>Tziva</w:t>
      </w:r>
      <w:proofErr w:type="spellEnd"/>
      <w:r>
        <w:t xml:space="preserve"> said that </w:t>
      </w:r>
      <w:proofErr w:type="spellStart"/>
      <w:r>
        <w:t>M’fiboshet</w:t>
      </w:r>
      <w:proofErr w:type="spellEnd"/>
      <w:r>
        <w:t xml:space="preserve"> was in “</w:t>
      </w:r>
      <w:r>
        <w:rPr>
          <w:i/>
          <w:iCs/>
        </w:rPr>
        <w:t xml:space="preserve">Lo </w:t>
      </w:r>
      <w:proofErr w:type="spellStart"/>
      <w:r>
        <w:rPr>
          <w:i/>
          <w:iCs/>
        </w:rPr>
        <w:t>Davar</w:t>
      </w:r>
      <w:proofErr w:type="spellEnd"/>
      <w:r>
        <w:t xml:space="preserve">.” The </w:t>
      </w:r>
      <w:proofErr w:type="spellStart"/>
      <w:r>
        <w:rPr>
          <w:i/>
          <w:iCs/>
        </w:rPr>
        <w:t>gemara</w:t>
      </w:r>
      <w:proofErr w:type="spellEnd"/>
      <w:r>
        <w:rPr>
          <w:i/>
          <w:iCs/>
        </w:rPr>
        <w:t xml:space="preserve"> </w:t>
      </w:r>
      <w:r>
        <w:t xml:space="preserve">(Shabbat 56a) says that </w:t>
      </w:r>
      <w:proofErr w:type="spellStart"/>
      <w:r>
        <w:t>Tziva</w:t>
      </w:r>
      <w:proofErr w:type="spellEnd"/>
      <w:r>
        <w:t xml:space="preserve"> was playing a word game to convince David that there was nothing redeeming about </w:t>
      </w:r>
      <w:proofErr w:type="spellStart"/>
      <w:r>
        <w:t>M’fiboshet</w:t>
      </w:r>
      <w:proofErr w:type="spellEnd"/>
      <w:r>
        <w:rPr>
          <w:b/>
          <w:bCs/>
        </w:rPr>
        <w:t xml:space="preserve">. </w:t>
      </w:r>
      <w:proofErr w:type="spellStart"/>
      <w:r>
        <w:t>Tziva</w:t>
      </w:r>
      <w:proofErr w:type="spellEnd"/>
      <w:r>
        <w:t xml:space="preserve"> continued with various lies about </w:t>
      </w:r>
      <w:proofErr w:type="spellStart"/>
      <w:r>
        <w:t>M’fiboshet’s</w:t>
      </w:r>
      <w:proofErr w:type="spellEnd"/>
      <w:r>
        <w:t xml:space="preserve"> alleged disloyalty, until finally David concluded that </w:t>
      </w:r>
      <w:proofErr w:type="spellStart"/>
      <w:r>
        <w:t>M’fiboshet</w:t>
      </w:r>
      <w:proofErr w:type="spellEnd"/>
      <w:r>
        <w:t xml:space="preserve"> and </w:t>
      </w:r>
      <w:proofErr w:type="spellStart"/>
      <w:r>
        <w:t>Tziva</w:t>
      </w:r>
      <w:proofErr w:type="spellEnd"/>
      <w:r>
        <w:t xml:space="preserve"> would split the estate (ibid. 19:30). Hashem saw this acceptance of </w:t>
      </w:r>
      <w:r>
        <w:rPr>
          <w:i/>
          <w:iCs/>
        </w:rPr>
        <w:t>lashon hara</w:t>
      </w:r>
      <w:r>
        <w:t xml:space="preserve"> about </w:t>
      </w:r>
      <w:proofErr w:type="spellStart"/>
      <w:r>
        <w:t>M’fiboshet</w:t>
      </w:r>
      <w:proofErr w:type="spellEnd"/>
      <w:r>
        <w:t xml:space="preserve"> as a betrayal on the part of David. The </w:t>
      </w:r>
      <w:proofErr w:type="spellStart"/>
      <w:r>
        <w:rPr>
          <w:i/>
          <w:iCs/>
        </w:rPr>
        <w:t>gemara</w:t>
      </w:r>
      <w:proofErr w:type="spellEnd"/>
      <w:r>
        <w:t xml:space="preserve"> tells that at the moment that David decreed that </w:t>
      </w:r>
      <w:proofErr w:type="spellStart"/>
      <w:r>
        <w:t>Shaul’s</w:t>
      </w:r>
      <w:proofErr w:type="spellEnd"/>
      <w:r>
        <w:t xml:space="preserve"> estate would be divided, a heavenly voice announced that </w:t>
      </w:r>
      <w:proofErr w:type="spellStart"/>
      <w:r>
        <w:t>Rachavam</w:t>
      </w:r>
      <w:proofErr w:type="spellEnd"/>
      <w:r>
        <w:t xml:space="preserve"> (David’s grandson) and </w:t>
      </w:r>
      <w:proofErr w:type="spellStart"/>
      <w:r>
        <w:t>Yeravam</w:t>
      </w:r>
      <w:proofErr w:type="spellEnd"/>
      <w:r>
        <w:t xml:space="preserve"> would split the Kingdom of Israel. This </w:t>
      </w:r>
      <w:r>
        <w:rPr>
          <w:i/>
          <w:iCs/>
        </w:rPr>
        <w:t>lashon hara</w:t>
      </w:r>
      <w:r>
        <w:t xml:space="preserve">, thus concluded the </w:t>
      </w:r>
      <w:proofErr w:type="spellStart"/>
      <w:r>
        <w:rPr>
          <w:i/>
          <w:iCs/>
        </w:rPr>
        <w:t>gemara</w:t>
      </w:r>
      <w:proofErr w:type="spellEnd"/>
      <w:r>
        <w:t xml:space="preserve">, caused a diminished kingdom and eventually our exile from the Land. </w:t>
      </w:r>
    </w:p>
    <w:p w14:paraId="753F4F19" w14:textId="70B49F7E" w:rsidR="00F92E2F" w:rsidRDefault="00F92E2F" w:rsidP="00504A02">
      <w:pPr>
        <w:bidi w:val="0"/>
        <w:spacing w:line="276" w:lineRule="auto"/>
        <w:ind w:firstLine="426"/>
        <w:rPr>
          <w:rFonts w:cs="Miriam"/>
        </w:rPr>
      </w:pPr>
      <w:r>
        <w:t xml:space="preserve">Indeed, the result of disunity is exile and destruction. We should remember that!  </w:t>
      </w:r>
    </w:p>
    <w:p w14:paraId="5C578A99" w14:textId="3BF3CEA9" w:rsidR="00F92E2F" w:rsidRDefault="003049D2" w:rsidP="00F92E2F">
      <w:pPr>
        <w:bidi w:val="0"/>
        <w:spacing w:line="276" w:lineRule="auto"/>
        <w:ind w:firstLine="426"/>
        <w:rPr>
          <w:rFonts w:cs="Miriam"/>
        </w:rPr>
      </w:pPr>
      <w:r>
        <w:rPr>
          <w:noProof/>
        </w:rPr>
        <w:drawing>
          <wp:anchor distT="0" distB="0" distL="114300" distR="114300" simplePos="0" relativeHeight="251667968" behindDoc="1" locked="0" layoutInCell="1" allowOverlap="1" wp14:anchorId="30CD6C17" wp14:editId="7BAB4477">
            <wp:simplePos x="0" y="0"/>
            <wp:positionH relativeFrom="page">
              <wp:posOffset>30480</wp:posOffset>
            </wp:positionH>
            <wp:positionV relativeFrom="paragraph">
              <wp:posOffset>149860</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A2F8E" w14:textId="16D31C5D" w:rsidR="007F403C" w:rsidRPr="00F62999" w:rsidRDefault="007F403C" w:rsidP="00462D70">
      <w:pPr>
        <w:bidi w:val="0"/>
        <w:spacing w:line="276" w:lineRule="auto"/>
        <w:ind w:firstLine="426"/>
      </w:pPr>
      <w:r>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Hemdah's beloved friends and Members of Eretz Hemdah's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Shlomo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r w:rsidRPr="002969AE">
              <w:rPr>
                <w:b/>
                <w:bCs/>
                <w:sz w:val="16"/>
                <w:szCs w:val="16"/>
              </w:rPr>
              <w:t xml:space="preserve">Harav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4FC6D08E" w14:textId="77777777" w:rsidR="00BC63CB" w:rsidRDefault="00BC63CB" w:rsidP="00BC63CB">
            <w:pPr>
              <w:bidi w:val="0"/>
              <w:jc w:val="center"/>
              <w:rPr>
                <w:sz w:val="16"/>
                <w:szCs w:val="16"/>
              </w:rPr>
            </w:pPr>
            <w:proofErr w:type="spellStart"/>
            <w:r w:rsidRPr="00BC63CB">
              <w:rPr>
                <w:sz w:val="16"/>
                <w:szCs w:val="16"/>
              </w:rPr>
              <w:t>HaRav</w:t>
            </w:r>
            <w:proofErr w:type="spellEnd"/>
            <w:r w:rsidRPr="00BC63CB">
              <w:rPr>
                <w:sz w:val="16"/>
                <w:szCs w:val="16"/>
              </w:rPr>
              <w:t xml:space="preserve"> Professor </w:t>
            </w:r>
            <w:r w:rsidRPr="00BC63CB">
              <w:rPr>
                <w:b/>
                <w:bCs/>
                <w:sz w:val="16"/>
                <w:szCs w:val="16"/>
              </w:rPr>
              <w:t xml:space="preserve">Reuben M. Rudman </w:t>
            </w:r>
            <w:proofErr w:type="spellStart"/>
            <w:r w:rsidRPr="00BC63CB">
              <w:rPr>
                <w:sz w:val="16"/>
                <w:szCs w:val="16"/>
              </w:rPr>
              <w:t>z"l</w:t>
            </w:r>
            <w:proofErr w:type="spellEnd"/>
            <w:r w:rsidRPr="00BC63CB">
              <w:rPr>
                <w:sz w:val="16"/>
                <w:szCs w:val="16"/>
              </w:rPr>
              <w:t xml:space="preserve"> </w:t>
            </w:r>
          </w:p>
          <w:p w14:paraId="0FDE569D" w14:textId="39B7806E" w:rsidR="007F403C" w:rsidRPr="00BC63CB" w:rsidRDefault="00BC63CB" w:rsidP="00BC63CB">
            <w:pPr>
              <w:bidi w:val="0"/>
              <w:jc w:val="center"/>
              <w:rPr>
                <w:sz w:val="16"/>
                <w:szCs w:val="16"/>
                <w:rtl/>
              </w:rPr>
            </w:pPr>
            <w:r w:rsidRPr="00BC63CB">
              <w:rPr>
                <w:sz w:val="16"/>
                <w:szCs w:val="16"/>
              </w:rPr>
              <w:t>Shevat 17</w:t>
            </w:r>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Nechama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3C60BD99" w14:textId="77777777" w:rsidR="007F403C" w:rsidRPr="00133962" w:rsidRDefault="007F403C" w:rsidP="007F403C">
            <w:pPr>
              <w:bidi w:val="0"/>
              <w:ind w:left="34"/>
              <w:contextualSpacing/>
              <w:jc w:val="center"/>
              <w:rPr>
                <w:sz w:val="16"/>
                <w:szCs w:val="16"/>
              </w:rPr>
            </w:pPr>
            <w:r w:rsidRPr="00133962">
              <w:rPr>
                <w:b/>
                <w:bCs/>
                <w:sz w:val="18"/>
                <w:szCs w:val="18"/>
              </w:rPr>
              <w:t>Those who fell in wars for our homeland. May Hashem avenge their blood!</w:t>
            </w: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58A0EDBE" w14:textId="573479CF" w:rsidR="007F403C" w:rsidRDefault="007F403C" w:rsidP="007F403C">
      <w:pPr>
        <w:rPr>
          <w:rtl/>
        </w:rPr>
      </w:pPr>
    </w:p>
    <w:p w14:paraId="1331ECC5" w14:textId="7D54EAA0" w:rsidR="00504A02" w:rsidRDefault="00504A02" w:rsidP="007F403C">
      <w:pPr>
        <w:rPr>
          <w:rtl/>
        </w:rPr>
      </w:pPr>
    </w:p>
    <w:p w14:paraId="3DB9EAA5" w14:textId="206B92C9" w:rsidR="00504A02" w:rsidRDefault="00504A02" w:rsidP="007F403C">
      <w:pPr>
        <w:rPr>
          <w:rtl/>
        </w:rPr>
      </w:pPr>
    </w:p>
    <w:p w14:paraId="59EAF080" w14:textId="77777777" w:rsidR="00504A02" w:rsidRPr="00E8277D" w:rsidRDefault="00504A02" w:rsidP="007F403C"/>
    <w:p w14:paraId="77EEC940" w14:textId="2945DC93" w:rsidR="007F403C" w:rsidRDefault="007F403C" w:rsidP="007F403C">
      <w:pPr>
        <w:bidi w:val="0"/>
        <w:ind w:firstLine="426"/>
      </w:pPr>
      <w:r>
        <w:rPr>
          <w:noProof/>
        </w:rPr>
        <w:drawing>
          <wp:anchor distT="0" distB="0" distL="114300" distR="114300" simplePos="0" relativeHeight="251670016" behindDoc="1" locked="1" layoutInCell="1" allowOverlap="1" wp14:anchorId="782BC12D" wp14:editId="618576D9">
            <wp:simplePos x="0" y="0"/>
            <wp:positionH relativeFrom="margin">
              <wp:posOffset>2063115</wp:posOffset>
            </wp:positionH>
            <wp:positionV relativeFrom="margin">
              <wp:posOffset>9037955</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3F4BDB08" w14:textId="05D309D8" w:rsidR="00034F59" w:rsidRDefault="00034F59" w:rsidP="00F304BA">
      <w:pPr>
        <w:bidi w:val="0"/>
        <w:ind w:firstLine="426"/>
        <w:jc w:val="center"/>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18B1396D" w14:textId="77777777" w:rsidR="00DA2BBC" w:rsidRDefault="00DA2BBC" w:rsidP="00DA2BBC">
      <w:pPr>
        <w:bidi w:val="0"/>
        <w:rPr>
          <w:b/>
          <w:bCs/>
          <w:i/>
          <w:iCs/>
        </w:rPr>
      </w:pPr>
      <w:bookmarkStart w:id="2" w:name="_Hlk218367466"/>
      <w:r>
        <w:rPr>
          <w:b/>
          <w:bCs/>
          <w:color w:val="D85640"/>
          <w:sz w:val="28"/>
          <w:szCs w:val="28"/>
        </w:rPr>
        <w:t xml:space="preserve">Possibly Early </w:t>
      </w:r>
      <w:proofErr w:type="spellStart"/>
      <w:r>
        <w:rPr>
          <w:b/>
          <w:bCs/>
          <w:i/>
          <w:iCs/>
          <w:color w:val="D85640"/>
          <w:sz w:val="28"/>
          <w:szCs w:val="28"/>
        </w:rPr>
        <w:t>Mincha</w:t>
      </w:r>
      <w:proofErr w:type="spellEnd"/>
      <w:r>
        <w:rPr>
          <w:b/>
          <w:bCs/>
          <w:i/>
          <w:iCs/>
          <w:color w:val="D85640"/>
          <w:sz w:val="28"/>
          <w:szCs w:val="28"/>
        </w:rPr>
        <w:t xml:space="preserve"> </w:t>
      </w:r>
    </w:p>
    <w:p w14:paraId="61F4C604" w14:textId="77777777" w:rsidR="00DA2BBC" w:rsidRPr="00DA2BBC" w:rsidRDefault="00DA2BBC" w:rsidP="00DA2BBC">
      <w:pPr>
        <w:bidi w:val="0"/>
        <w:rPr>
          <w:b/>
          <w:bCs/>
          <w:color w:val="D85640"/>
          <w:sz w:val="24"/>
          <w:szCs w:val="24"/>
        </w:rPr>
      </w:pPr>
    </w:p>
    <w:p w14:paraId="065D62DF" w14:textId="77777777" w:rsidR="00DA2BBC" w:rsidRDefault="00DA2BBC" w:rsidP="00DA2BBC">
      <w:pPr>
        <w:shd w:val="clear" w:color="auto" w:fill="FFFFFF"/>
        <w:bidi w:val="0"/>
        <w:rPr>
          <w:color w:val="222222"/>
        </w:rPr>
      </w:pPr>
      <w:r w:rsidRPr="00DA2BBC">
        <w:rPr>
          <w:b/>
          <w:bCs/>
          <w:color w:val="D85640"/>
          <w:sz w:val="24"/>
          <w:szCs w:val="24"/>
          <w:u w:val="single"/>
        </w:rPr>
        <w:t>Question</w:t>
      </w:r>
      <w:r w:rsidRPr="00DA2BBC">
        <w:rPr>
          <w:b/>
          <w:bCs/>
          <w:color w:val="D85640"/>
          <w:sz w:val="24"/>
          <w:szCs w:val="24"/>
        </w:rPr>
        <w:t>:</w:t>
      </w:r>
      <w:r w:rsidRPr="00DA2BBC">
        <w:rPr>
          <w:sz w:val="24"/>
          <w:szCs w:val="24"/>
        </w:rPr>
        <w:t xml:space="preserve"> </w:t>
      </w:r>
      <w:r>
        <w:rPr>
          <w:color w:val="222222"/>
          <w:shd w:val="clear" w:color="auto" w:fill="FFFFFF"/>
        </w:rPr>
        <w:t xml:space="preserve">I (a woman) noticed after finishing </w:t>
      </w:r>
      <w:proofErr w:type="spellStart"/>
      <w:r>
        <w:rPr>
          <w:i/>
          <w:iCs/>
          <w:color w:val="222222"/>
          <w:shd w:val="clear" w:color="auto" w:fill="FFFFFF"/>
        </w:rPr>
        <w:t>Mincha</w:t>
      </w:r>
      <w:proofErr w:type="spellEnd"/>
      <w:r>
        <w:rPr>
          <w:i/>
          <w:iCs/>
          <w:color w:val="222222"/>
          <w:shd w:val="clear" w:color="auto" w:fill="FFFFFF"/>
        </w:rPr>
        <w:t xml:space="preserve"> </w:t>
      </w:r>
      <w:r>
        <w:rPr>
          <w:color w:val="222222"/>
          <w:shd w:val="clear" w:color="auto" w:fill="FFFFFF"/>
        </w:rPr>
        <w:t xml:space="preserve">that it was two minutes after the earliest time to </w:t>
      </w:r>
      <w:r>
        <w:rPr>
          <w:i/>
          <w:iCs/>
          <w:color w:val="222222"/>
          <w:shd w:val="clear" w:color="auto" w:fill="FFFFFF"/>
        </w:rPr>
        <w:t>daven</w:t>
      </w:r>
      <w:r>
        <w:rPr>
          <w:color w:val="222222"/>
          <w:shd w:val="clear" w:color="auto" w:fill="FFFFFF"/>
        </w:rPr>
        <w:t xml:space="preserve"> </w:t>
      </w:r>
      <w:proofErr w:type="spellStart"/>
      <w:r>
        <w:rPr>
          <w:i/>
          <w:iCs/>
          <w:color w:val="222222"/>
          <w:shd w:val="clear" w:color="auto" w:fill="FFFFFF"/>
        </w:rPr>
        <w:t>Mincha</w:t>
      </w:r>
      <w:proofErr w:type="spellEnd"/>
      <w:r>
        <w:rPr>
          <w:color w:val="222222"/>
          <w:shd w:val="clear" w:color="auto" w:fill="FFFFFF"/>
        </w:rPr>
        <w:t xml:space="preserve">, so I must have started </w:t>
      </w:r>
      <w:proofErr w:type="spellStart"/>
      <w:r>
        <w:rPr>
          <w:i/>
          <w:iCs/>
          <w:color w:val="222222"/>
          <w:shd w:val="clear" w:color="auto" w:fill="FFFFFF"/>
        </w:rPr>
        <w:t>Shemoneh</w:t>
      </w:r>
      <w:proofErr w:type="spellEnd"/>
      <w:r>
        <w:rPr>
          <w:i/>
          <w:iCs/>
          <w:color w:val="222222"/>
          <w:shd w:val="clear" w:color="auto" w:fill="FFFFFF"/>
        </w:rPr>
        <w:t xml:space="preserve"> </w:t>
      </w:r>
      <w:proofErr w:type="spellStart"/>
      <w:r>
        <w:rPr>
          <w:i/>
          <w:iCs/>
          <w:color w:val="222222"/>
          <w:shd w:val="clear" w:color="auto" w:fill="FFFFFF"/>
        </w:rPr>
        <w:t>Esrei</w:t>
      </w:r>
      <w:proofErr w:type="spellEnd"/>
      <w:r>
        <w:rPr>
          <w:color w:val="222222"/>
          <w:shd w:val="clear" w:color="auto" w:fill="FFFFFF"/>
        </w:rPr>
        <w:t xml:space="preserve"> (=</w:t>
      </w:r>
      <w:r>
        <w:rPr>
          <w:i/>
          <w:iCs/>
          <w:color w:val="222222"/>
          <w:shd w:val="clear" w:color="auto" w:fill="FFFFFF"/>
        </w:rPr>
        <w:t>SE</w:t>
      </w:r>
      <w:r>
        <w:rPr>
          <w:color w:val="222222"/>
          <w:shd w:val="clear" w:color="auto" w:fill="FFFFFF"/>
        </w:rPr>
        <w:t>)</w:t>
      </w:r>
      <w:r>
        <w:rPr>
          <w:i/>
          <w:iCs/>
          <w:color w:val="222222"/>
          <w:shd w:val="clear" w:color="auto" w:fill="FFFFFF"/>
        </w:rPr>
        <w:t xml:space="preserve"> </w:t>
      </w:r>
      <w:r>
        <w:rPr>
          <w:color w:val="222222"/>
          <w:shd w:val="clear" w:color="auto" w:fill="FFFFFF"/>
        </w:rPr>
        <w:t xml:space="preserve">before the time. Should I repeat </w:t>
      </w:r>
      <w:r>
        <w:rPr>
          <w:i/>
          <w:iCs/>
          <w:color w:val="222222"/>
          <w:shd w:val="clear" w:color="auto" w:fill="FFFFFF"/>
        </w:rPr>
        <w:t>SE</w:t>
      </w:r>
      <w:r>
        <w:rPr>
          <w:color w:val="222222"/>
          <w:shd w:val="clear" w:color="auto" w:fill="FFFFFF"/>
        </w:rPr>
        <w:t>?</w:t>
      </w:r>
      <w:bookmarkEnd w:id="2"/>
    </w:p>
    <w:p w14:paraId="47A6A934" w14:textId="77777777" w:rsidR="00DA2BBC" w:rsidRPr="00DA2BBC" w:rsidRDefault="00DA2BBC" w:rsidP="00DA2BBC">
      <w:pPr>
        <w:bidi w:val="0"/>
        <w:rPr>
          <w:sz w:val="32"/>
          <w:szCs w:val="32"/>
          <w:rtl/>
          <w:lang w:eastAsia="he-IL"/>
        </w:rPr>
      </w:pPr>
    </w:p>
    <w:p w14:paraId="5FB5FF76" w14:textId="77777777" w:rsidR="00DA2BBC" w:rsidRDefault="00DA2BBC" w:rsidP="00DA2BBC">
      <w:pPr>
        <w:bidi w:val="0"/>
        <w:ind w:right="26"/>
      </w:pPr>
      <w:r w:rsidRPr="00DA2BBC">
        <w:rPr>
          <w:b/>
          <w:bCs/>
          <w:color w:val="D85640"/>
          <w:sz w:val="24"/>
          <w:szCs w:val="24"/>
          <w:u w:val="single"/>
        </w:rPr>
        <w:t>Answer</w:t>
      </w:r>
      <w:r w:rsidRPr="00DA2BBC">
        <w:rPr>
          <w:b/>
          <w:bCs/>
          <w:color w:val="D85640"/>
          <w:sz w:val="24"/>
          <w:szCs w:val="24"/>
        </w:rPr>
        <w:t>:</w:t>
      </w:r>
      <w:r w:rsidRPr="00DA2BBC">
        <w:rPr>
          <w:sz w:val="24"/>
          <w:szCs w:val="24"/>
        </w:rPr>
        <w:t xml:space="preserve"> </w:t>
      </w:r>
      <w:r>
        <w:t xml:space="preserve">Earliest </w:t>
      </w:r>
      <w:proofErr w:type="spellStart"/>
      <w:r>
        <w:rPr>
          <w:i/>
          <w:iCs/>
        </w:rPr>
        <w:t>Mincha</w:t>
      </w:r>
      <w:proofErr w:type="spellEnd"/>
      <w:r>
        <w:rPr>
          <w:i/>
          <w:iCs/>
        </w:rPr>
        <w:t xml:space="preserve"> </w:t>
      </w:r>
      <w:r>
        <w:t xml:space="preserve">time on our halachic calendars is a half hour after </w:t>
      </w:r>
      <w:proofErr w:type="spellStart"/>
      <w:r>
        <w:rPr>
          <w:i/>
          <w:iCs/>
        </w:rPr>
        <w:t>chatzot</w:t>
      </w:r>
      <w:proofErr w:type="spellEnd"/>
      <w:r>
        <w:rPr>
          <w:i/>
          <w:iCs/>
        </w:rPr>
        <w:t xml:space="preserve"> </w:t>
      </w:r>
      <w:r>
        <w:t>(astronomical midday)</w:t>
      </w:r>
      <w:r>
        <w:rPr>
          <w:i/>
          <w:iCs/>
        </w:rPr>
        <w:t xml:space="preserve">. </w:t>
      </w:r>
      <w:r>
        <w:t xml:space="preserve">Since the three </w:t>
      </w:r>
      <w:proofErr w:type="spellStart"/>
      <w:r>
        <w:rPr>
          <w:i/>
          <w:iCs/>
        </w:rPr>
        <w:t>tefillot</w:t>
      </w:r>
      <w:proofErr w:type="spellEnd"/>
      <w:r>
        <w:t xml:space="preserve"> relate to morning, afternoon, and night, we would have expected </w:t>
      </w:r>
      <w:proofErr w:type="spellStart"/>
      <w:r>
        <w:rPr>
          <w:i/>
          <w:iCs/>
        </w:rPr>
        <w:t>Mincha</w:t>
      </w:r>
      <w:proofErr w:type="spellEnd"/>
      <w:r>
        <w:rPr>
          <w:i/>
          <w:iCs/>
        </w:rPr>
        <w:t xml:space="preserve"> </w:t>
      </w:r>
      <w:r>
        <w:t xml:space="preserve">to begin at </w:t>
      </w:r>
      <w:proofErr w:type="spellStart"/>
      <w:r>
        <w:rPr>
          <w:i/>
          <w:iCs/>
        </w:rPr>
        <w:t>chatzot</w:t>
      </w:r>
      <w:proofErr w:type="spellEnd"/>
      <w:r>
        <w:t>. The reason it does not is critical to answering your question.</w:t>
      </w:r>
    </w:p>
    <w:p w14:paraId="64164E52" w14:textId="77777777" w:rsidR="00DA2BBC" w:rsidRDefault="00DA2BBC" w:rsidP="00DA2BBC">
      <w:pPr>
        <w:bidi w:val="0"/>
        <w:ind w:firstLine="450"/>
      </w:pPr>
      <w:r>
        <w:t xml:space="preserve">One </w:t>
      </w:r>
      <w:proofErr w:type="spellStart"/>
      <w:r>
        <w:rPr>
          <w:i/>
          <w:iCs/>
        </w:rPr>
        <w:t>gemara</w:t>
      </w:r>
      <w:proofErr w:type="spellEnd"/>
      <w:r>
        <w:t xml:space="preserve"> (</w:t>
      </w:r>
      <w:proofErr w:type="spellStart"/>
      <w:r>
        <w:t>Yoma</w:t>
      </w:r>
      <w:proofErr w:type="spellEnd"/>
      <w:r>
        <w:t xml:space="preserve"> 28b) reports that Avraham </w:t>
      </w:r>
      <w:r>
        <w:rPr>
          <w:i/>
          <w:iCs/>
        </w:rPr>
        <w:t>davened</w:t>
      </w:r>
      <w:r>
        <w:t xml:space="preserve"> </w:t>
      </w:r>
      <w:proofErr w:type="spellStart"/>
      <w:r>
        <w:rPr>
          <w:i/>
          <w:iCs/>
        </w:rPr>
        <w:t>Mincha</w:t>
      </w:r>
      <w:proofErr w:type="spellEnd"/>
      <w:r>
        <w:t xml:space="preserve"> right after </w:t>
      </w:r>
      <w:proofErr w:type="spellStart"/>
      <w:r>
        <w:rPr>
          <w:i/>
          <w:iCs/>
        </w:rPr>
        <w:t>chatzot</w:t>
      </w:r>
      <w:proofErr w:type="spellEnd"/>
      <w:r>
        <w:t xml:space="preserve"> and wonders why in the </w:t>
      </w:r>
      <w:r>
        <w:rPr>
          <w:i/>
          <w:iCs/>
        </w:rPr>
        <w:t xml:space="preserve">Beit </w:t>
      </w:r>
      <w:proofErr w:type="spellStart"/>
      <w:r>
        <w:rPr>
          <w:i/>
          <w:iCs/>
        </w:rPr>
        <w:t>Hamikdash</w:t>
      </w:r>
      <w:proofErr w:type="spellEnd"/>
      <w:r>
        <w:t xml:space="preserve"> they never slaughtered the afternoon </w:t>
      </w:r>
      <w:r>
        <w:rPr>
          <w:i/>
          <w:iCs/>
        </w:rPr>
        <w:t xml:space="preserve">korban </w:t>
      </w:r>
      <w:r>
        <w:t xml:space="preserve">until a half hour later. One of the </w:t>
      </w:r>
      <w:proofErr w:type="spellStart"/>
      <w:r>
        <w:rPr>
          <w:i/>
          <w:iCs/>
        </w:rPr>
        <w:t>gemara</w:t>
      </w:r>
      <w:r>
        <w:t>’s</w:t>
      </w:r>
      <w:proofErr w:type="spellEnd"/>
      <w:r>
        <w:t xml:space="preserve"> answers is that Avraham was an expert in knowing when it was </w:t>
      </w:r>
      <w:proofErr w:type="spellStart"/>
      <w:r>
        <w:rPr>
          <w:i/>
          <w:iCs/>
        </w:rPr>
        <w:t>chatzot</w:t>
      </w:r>
      <w:proofErr w:type="spellEnd"/>
      <w:r>
        <w:t xml:space="preserve">, whereas others wait a half hour to make sure it is afternoon. The Magen Avraham (233:1) learns from here that fundamentally the earliest time for </w:t>
      </w:r>
      <w:proofErr w:type="spellStart"/>
      <w:r>
        <w:rPr>
          <w:i/>
          <w:iCs/>
        </w:rPr>
        <w:t>Mincha</w:t>
      </w:r>
      <w:proofErr w:type="spellEnd"/>
      <w:r>
        <w:t xml:space="preserve"> is </w:t>
      </w:r>
      <w:proofErr w:type="spellStart"/>
      <w:r>
        <w:rPr>
          <w:i/>
          <w:iCs/>
        </w:rPr>
        <w:t>chatzot</w:t>
      </w:r>
      <w:proofErr w:type="spellEnd"/>
      <w:r>
        <w:t xml:space="preserve">¸ and our practice of waiting a half hour is precautionary. </w:t>
      </w:r>
    </w:p>
    <w:p w14:paraId="46C794AD" w14:textId="77777777" w:rsidR="00DA2BBC" w:rsidRDefault="00DA2BBC" w:rsidP="00DA2BBC">
      <w:pPr>
        <w:bidi w:val="0"/>
        <w:ind w:firstLine="450"/>
      </w:pPr>
      <w:r>
        <w:t xml:space="preserve">Another </w:t>
      </w:r>
      <w:proofErr w:type="spellStart"/>
      <w:r>
        <w:rPr>
          <w:i/>
          <w:iCs/>
        </w:rPr>
        <w:t>gemara</w:t>
      </w:r>
      <w:proofErr w:type="spellEnd"/>
      <w:r>
        <w:t xml:space="preserve"> (</w:t>
      </w:r>
      <w:proofErr w:type="spellStart"/>
      <w:r>
        <w:t>Berachot</w:t>
      </w:r>
      <w:proofErr w:type="spellEnd"/>
      <w:r>
        <w:t xml:space="preserve"> 26b) writes categorically that the earliest first starting time of </w:t>
      </w:r>
      <w:proofErr w:type="spellStart"/>
      <w:r>
        <w:rPr>
          <w:i/>
          <w:iCs/>
        </w:rPr>
        <w:t>Mincha</w:t>
      </w:r>
      <w:proofErr w:type="spellEnd"/>
      <w:r>
        <w:t xml:space="preserve"> (</w:t>
      </w:r>
      <w:proofErr w:type="spellStart"/>
      <w:r>
        <w:rPr>
          <w:i/>
          <w:iCs/>
        </w:rPr>
        <w:t>Mincha</w:t>
      </w:r>
      <w:proofErr w:type="spellEnd"/>
      <w:r>
        <w:rPr>
          <w:i/>
          <w:iCs/>
        </w:rPr>
        <w:t xml:space="preserve"> </w:t>
      </w:r>
      <w:proofErr w:type="spellStart"/>
      <w:r>
        <w:rPr>
          <w:i/>
          <w:iCs/>
        </w:rPr>
        <w:t>Gedola</w:t>
      </w:r>
      <w:proofErr w:type="spellEnd"/>
      <w:r>
        <w:t xml:space="preserve">) is 6.5 hours (i.e., half an hour after </w:t>
      </w:r>
      <w:proofErr w:type="spellStart"/>
      <w:r>
        <w:rPr>
          <w:i/>
          <w:iCs/>
        </w:rPr>
        <w:t>chatzot</w:t>
      </w:r>
      <w:proofErr w:type="spellEnd"/>
      <w:r>
        <w:t xml:space="preserve">), which corresponds to the earliest afternoon </w:t>
      </w:r>
      <w:r>
        <w:rPr>
          <w:i/>
          <w:iCs/>
        </w:rPr>
        <w:t xml:space="preserve">korban </w:t>
      </w:r>
      <w:r>
        <w:t>of the year (</w:t>
      </w:r>
      <w:proofErr w:type="spellStart"/>
      <w:r>
        <w:rPr>
          <w:i/>
          <w:iCs/>
        </w:rPr>
        <w:t>Mincha</w:t>
      </w:r>
      <w:proofErr w:type="spellEnd"/>
      <w:r>
        <w:rPr>
          <w:i/>
          <w:iCs/>
        </w:rPr>
        <w:t xml:space="preserve"> </w:t>
      </w:r>
      <w:proofErr w:type="spellStart"/>
      <w:r>
        <w:rPr>
          <w:i/>
          <w:iCs/>
        </w:rPr>
        <w:t>Ketana</w:t>
      </w:r>
      <w:proofErr w:type="spellEnd"/>
      <w:r>
        <w:rPr>
          <w:i/>
          <w:iCs/>
        </w:rPr>
        <w:t xml:space="preserve"> </w:t>
      </w:r>
      <w:r>
        <w:t xml:space="preserve">is at 9.5 hours into the day, the usual time of the </w:t>
      </w:r>
      <w:r>
        <w:rPr>
          <w:i/>
          <w:iCs/>
        </w:rPr>
        <w:t>korban</w:t>
      </w:r>
      <w:r>
        <w:t xml:space="preserve">). One reconciliation of the </w:t>
      </w:r>
      <w:proofErr w:type="spellStart"/>
      <w:r>
        <w:rPr>
          <w:i/>
          <w:iCs/>
        </w:rPr>
        <w:t>gemarot</w:t>
      </w:r>
      <w:proofErr w:type="spellEnd"/>
      <w:r>
        <w:t xml:space="preserve"> is that </w:t>
      </w:r>
      <w:proofErr w:type="spellStart"/>
      <w:r>
        <w:t>Yoma</w:t>
      </w:r>
      <w:proofErr w:type="spellEnd"/>
      <w:r>
        <w:t xml:space="preserve"> follows the approach that the </w:t>
      </w:r>
      <w:proofErr w:type="spellStart"/>
      <w:r>
        <w:rPr>
          <w:i/>
          <w:iCs/>
        </w:rPr>
        <w:t>tefillot</w:t>
      </w:r>
      <w:proofErr w:type="spellEnd"/>
      <w:r>
        <w:t xml:space="preserve"> were modeled after the patriarch’s </w:t>
      </w:r>
      <w:proofErr w:type="spellStart"/>
      <w:r>
        <w:rPr>
          <w:i/>
          <w:iCs/>
        </w:rPr>
        <w:t>tefillot</w:t>
      </w:r>
      <w:proofErr w:type="spellEnd"/>
      <w:r>
        <w:t xml:space="preserve"> and that </w:t>
      </w:r>
      <w:proofErr w:type="spellStart"/>
      <w:r>
        <w:t>Berachot</w:t>
      </w:r>
      <w:proofErr w:type="spellEnd"/>
      <w:r>
        <w:t xml:space="preserve"> follows the approach that they are modeled after the </w:t>
      </w:r>
      <w:proofErr w:type="spellStart"/>
      <w:r>
        <w:rPr>
          <w:i/>
          <w:iCs/>
        </w:rPr>
        <w:t>korbanot</w:t>
      </w:r>
      <w:proofErr w:type="spellEnd"/>
      <w:r>
        <w:t xml:space="preserve">, i.e., never before 6.5 hours (Magen </w:t>
      </w:r>
      <w:proofErr w:type="spellStart"/>
      <w:r>
        <w:t>Gibborim</w:t>
      </w:r>
      <w:proofErr w:type="spellEnd"/>
      <w:r>
        <w:t xml:space="preserve"> 233:1). </w:t>
      </w:r>
    </w:p>
    <w:p w14:paraId="719F9879" w14:textId="77777777" w:rsidR="00DA2BBC" w:rsidRDefault="00DA2BBC" w:rsidP="00DA2BBC">
      <w:pPr>
        <w:bidi w:val="0"/>
        <w:ind w:firstLine="450"/>
      </w:pPr>
      <w:r>
        <w:t xml:space="preserve">Conceptually, the Magen Avraham (ibid.) saw the extra half hour as a precaution, according to which we would expect that if one accidentally </w:t>
      </w:r>
      <w:r>
        <w:rPr>
          <w:i/>
          <w:iCs/>
        </w:rPr>
        <w:t xml:space="preserve">davened </w:t>
      </w:r>
      <w:r>
        <w:t xml:space="preserve">during the half </w:t>
      </w:r>
      <w:proofErr w:type="gramStart"/>
      <w:r>
        <w:t>hour</w:t>
      </w:r>
      <w:proofErr w:type="gramEnd"/>
      <w:r>
        <w:t xml:space="preserve"> he would be </w:t>
      </w:r>
      <w:proofErr w:type="spellStart"/>
      <w:r>
        <w:rPr>
          <w:i/>
          <w:iCs/>
        </w:rPr>
        <w:t>yotzei</w:t>
      </w:r>
      <w:proofErr w:type="spellEnd"/>
      <w:r>
        <w:t xml:space="preserve">. Yet, he infers from the Shulchan </w:t>
      </w:r>
      <w:proofErr w:type="spellStart"/>
      <w:r>
        <w:t>Aruch</w:t>
      </w:r>
      <w:proofErr w:type="spellEnd"/>
      <w:r>
        <w:t xml:space="preserve"> (</w:t>
      </w:r>
      <w:proofErr w:type="spellStart"/>
      <w:r>
        <w:t>Orach</w:t>
      </w:r>
      <w:proofErr w:type="spellEnd"/>
      <w:r>
        <w:t xml:space="preserve"> Chayim 233:1) that since he views </w:t>
      </w:r>
      <w:proofErr w:type="spellStart"/>
      <w:r>
        <w:rPr>
          <w:i/>
          <w:iCs/>
        </w:rPr>
        <w:t>Mincha</w:t>
      </w:r>
      <w:proofErr w:type="spellEnd"/>
      <w:r>
        <w:rPr>
          <w:i/>
          <w:iCs/>
        </w:rPr>
        <w:t xml:space="preserve"> </w:t>
      </w:r>
      <w:proofErr w:type="spellStart"/>
      <w:r>
        <w:rPr>
          <w:i/>
          <w:iCs/>
        </w:rPr>
        <w:t>Gedola</w:t>
      </w:r>
      <w:proofErr w:type="spellEnd"/>
      <w:r>
        <w:t xml:space="preserve"> itself as </w:t>
      </w:r>
      <w:proofErr w:type="spellStart"/>
      <w:r>
        <w:rPr>
          <w:i/>
          <w:iCs/>
        </w:rPr>
        <w:t>b’di’eved</w:t>
      </w:r>
      <w:proofErr w:type="spellEnd"/>
      <w:r>
        <w:t xml:space="preserve">, before 6.5 hours must be totally invalid. The </w:t>
      </w:r>
      <w:proofErr w:type="spellStart"/>
      <w:r>
        <w:t>Pri</w:t>
      </w:r>
      <w:proofErr w:type="spellEnd"/>
      <w:r>
        <w:t xml:space="preserve"> </w:t>
      </w:r>
      <w:proofErr w:type="spellStart"/>
      <w:r>
        <w:t>Megadim</w:t>
      </w:r>
      <w:proofErr w:type="spellEnd"/>
      <w:r>
        <w:t xml:space="preserve"> (ad loc.) counters that there could be three levels: optimal- </w:t>
      </w:r>
      <w:proofErr w:type="spellStart"/>
      <w:r>
        <w:rPr>
          <w:i/>
          <w:iCs/>
        </w:rPr>
        <w:t>Mincha</w:t>
      </w:r>
      <w:proofErr w:type="spellEnd"/>
      <w:r>
        <w:rPr>
          <w:i/>
          <w:iCs/>
        </w:rPr>
        <w:t xml:space="preserve"> </w:t>
      </w:r>
      <w:proofErr w:type="spellStart"/>
      <w:r>
        <w:rPr>
          <w:i/>
          <w:iCs/>
        </w:rPr>
        <w:t>Ketana</w:t>
      </w:r>
      <w:proofErr w:type="spellEnd"/>
      <w:r>
        <w:rPr>
          <w:i/>
          <w:iCs/>
        </w:rPr>
        <w:t xml:space="preserve">; </w:t>
      </w:r>
      <w:r>
        <w:t xml:space="preserve">less than optimal- </w:t>
      </w:r>
      <w:proofErr w:type="spellStart"/>
      <w:r>
        <w:rPr>
          <w:i/>
          <w:iCs/>
        </w:rPr>
        <w:t>Mincha</w:t>
      </w:r>
      <w:proofErr w:type="spellEnd"/>
      <w:r>
        <w:rPr>
          <w:i/>
          <w:iCs/>
        </w:rPr>
        <w:t xml:space="preserve"> </w:t>
      </w:r>
      <w:proofErr w:type="spellStart"/>
      <w:r>
        <w:rPr>
          <w:i/>
          <w:iCs/>
        </w:rPr>
        <w:t>Gedola</w:t>
      </w:r>
      <w:proofErr w:type="spellEnd"/>
      <w:r>
        <w:t xml:space="preserve">; </w:t>
      </w:r>
      <w:proofErr w:type="spellStart"/>
      <w:r>
        <w:rPr>
          <w:i/>
          <w:iCs/>
        </w:rPr>
        <w:t>b’di’eved</w:t>
      </w:r>
      <w:proofErr w:type="spellEnd"/>
      <w:r>
        <w:rPr>
          <w:i/>
          <w:iCs/>
        </w:rPr>
        <w:t xml:space="preserve">- </w:t>
      </w:r>
      <w:r>
        <w:t xml:space="preserve">during the half hour. </w:t>
      </w:r>
    </w:p>
    <w:p w14:paraId="12A93BD1" w14:textId="77777777" w:rsidR="00DA2BBC" w:rsidRDefault="00DA2BBC" w:rsidP="00DA2BBC">
      <w:pPr>
        <w:bidi w:val="0"/>
        <w:ind w:firstLine="450"/>
      </w:pPr>
      <w:r>
        <w:t xml:space="preserve">The Mishna </w:t>
      </w:r>
      <w:proofErr w:type="spellStart"/>
      <w:r>
        <w:t>Berura</w:t>
      </w:r>
      <w:proofErr w:type="spellEnd"/>
      <w:r>
        <w:t xml:space="preserve"> (233:2) suggests that if we wait a half hour due to concern for mistake, we should treat someone who </w:t>
      </w:r>
      <w:r>
        <w:rPr>
          <w:i/>
          <w:iCs/>
        </w:rPr>
        <w:t xml:space="preserve">davened </w:t>
      </w:r>
      <w:r>
        <w:t xml:space="preserve">then like one who is unsure if he </w:t>
      </w:r>
      <w:r>
        <w:rPr>
          <w:i/>
          <w:iCs/>
        </w:rPr>
        <w:t xml:space="preserve">davened </w:t>
      </w:r>
      <w:r>
        <w:t xml:space="preserve">properly, who does not need, according to the basic law, to </w:t>
      </w:r>
      <w:r>
        <w:rPr>
          <w:i/>
          <w:iCs/>
        </w:rPr>
        <w:t xml:space="preserve">daven </w:t>
      </w:r>
      <w:r>
        <w:t xml:space="preserve">again (see </w:t>
      </w:r>
      <w:proofErr w:type="spellStart"/>
      <w:r>
        <w:t>Be’ur</w:t>
      </w:r>
      <w:proofErr w:type="spellEnd"/>
      <w:r>
        <w:t xml:space="preserve"> Halacha 107:1). However, he also raises the following reason not to be </w:t>
      </w:r>
      <w:proofErr w:type="spellStart"/>
      <w:r>
        <w:rPr>
          <w:i/>
          <w:iCs/>
        </w:rPr>
        <w:t>yotzei</w:t>
      </w:r>
      <w:proofErr w:type="spellEnd"/>
      <w:r>
        <w:rPr>
          <w:i/>
          <w:iCs/>
        </w:rPr>
        <w:t xml:space="preserve"> </w:t>
      </w:r>
      <w:proofErr w:type="spellStart"/>
      <w:r>
        <w:rPr>
          <w:i/>
          <w:iCs/>
        </w:rPr>
        <w:t>b’di’eved</w:t>
      </w:r>
      <w:proofErr w:type="spellEnd"/>
      <w:r>
        <w:t>. Irrespective of the original reason for adding the half hour, once it was set, prior to that time is simply and fully the wrong time (</w:t>
      </w:r>
      <w:proofErr w:type="spellStart"/>
      <w:r>
        <w:t>Sha’ar</w:t>
      </w:r>
      <w:proofErr w:type="spellEnd"/>
      <w:r>
        <w:t xml:space="preserve"> </w:t>
      </w:r>
      <w:proofErr w:type="spellStart"/>
      <w:r>
        <w:t>Hatziyun</w:t>
      </w:r>
      <w:proofErr w:type="spellEnd"/>
      <w:r>
        <w:t xml:space="preserve"> 233:6). This approach finds expression in the opinion that during this half hour, one can even </w:t>
      </w:r>
      <w:r>
        <w:rPr>
          <w:i/>
          <w:iCs/>
        </w:rPr>
        <w:t xml:space="preserve">daven Shacharit </w:t>
      </w:r>
      <w:r>
        <w:t xml:space="preserve">(see Mishna </w:t>
      </w:r>
      <w:proofErr w:type="spellStart"/>
      <w:r>
        <w:t>Berura</w:t>
      </w:r>
      <w:proofErr w:type="spellEnd"/>
      <w:r>
        <w:t xml:space="preserve"> 89:7). The Mishna </w:t>
      </w:r>
      <w:proofErr w:type="spellStart"/>
      <w:r>
        <w:t>Berura</w:t>
      </w:r>
      <w:proofErr w:type="spellEnd"/>
      <w:r>
        <w:t xml:space="preserve"> does not resolve the question whether one who </w:t>
      </w:r>
      <w:r>
        <w:rPr>
          <w:i/>
          <w:iCs/>
        </w:rPr>
        <w:t>davened</w:t>
      </w:r>
      <w:r>
        <w:t xml:space="preserve"> </w:t>
      </w:r>
      <w:proofErr w:type="spellStart"/>
      <w:r>
        <w:rPr>
          <w:i/>
          <w:iCs/>
        </w:rPr>
        <w:t>Mincha</w:t>
      </w:r>
      <w:proofErr w:type="spellEnd"/>
      <w:r>
        <w:rPr>
          <w:i/>
          <w:iCs/>
        </w:rPr>
        <w:t xml:space="preserve"> </w:t>
      </w:r>
      <w:r>
        <w:t xml:space="preserve">during the half hour must repeat </w:t>
      </w:r>
      <w:proofErr w:type="spellStart"/>
      <w:r>
        <w:rPr>
          <w:i/>
          <w:iCs/>
        </w:rPr>
        <w:t>Mincha</w:t>
      </w:r>
      <w:proofErr w:type="spellEnd"/>
      <w:r>
        <w:t xml:space="preserve">. (If one chose to do so, she </w:t>
      </w:r>
      <w:r>
        <w:rPr>
          <w:b/>
          <w:bCs/>
        </w:rPr>
        <w:t>might</w:t>
      </w:r>
      <w:r>
        <w:t xml:space="preserve"> make a condition that if she was already </w:t>
      </w:r>
      <w:proofErr w:type="spellStart"/>
      <w:r>
        <w:rPr>
          <w:i/>
          <w:iCs/>
        </w:rPr>
        <w:t>yotzeit</w:t>
      </w:r>
      <w:proofErr w:type="spellEnd"/>
      <w:r>
        <w:t xml:space="preserve">, the second </w:t>
      </w:r>
      <w:r>
        <w:rPr>
          <w:i/>
          <w:iCs/>
        </w:rPr>
        <w:t xml:space="preserve">tefilla </w:t>
      </w:r>
      <w:r>
        <w:t xml:space="preserve">is a </w:t>
      </w:r>
      <w:proofErr w:type="spellStart"/>
      <w:r>
        <w:rPr>
          <w:i/>
          <w:iCs/>
        </w:rPr>
        <w:t>nedava</w:t>
      </w:r>
      <w:proofErr w:type="spellEnd"/>
      <w:r>
        <w:t xml:space="preserve"> (see opinions in </w:t>
      </w:r>
      <w:proofErr w:type="spellStart"/>
      <w:r>
        <w:t>Ishei</w:t>
      </w:r>
      <w:proofErr w:type="spellEnd"/>
      <w:r>
        <w:t xml:space="preserve"> Yisrael 27:(9)).) </w:t>
      </w:r>
    </w:p>
    <w:p w14:paraId="01687D19" w14:textId="77777777" w:rsidR="00DA2BBC" w:rsidRDefault="00DA2BBC" w:rsidP="00DA2BBC">
      <w:pPr>
        <w:bidi w:val="0"/>
        <w:ind w:firstLine="450"/>
      </w:pPr>
      <w:r>
        <w:t xml:space="preserve">We now turn to your case’s specific details. The fact that you </w:t>
      </w:r>
      <w:r>
        <w:rPr>
          <w:b/>
          <w:bCs/>
        </w:rPr>
        <w:t>ended</w:t>
      </w:r>
      <w:r>
        <w:t xml:space="preserve"> </w:t>
      </w:r>
      <w:r>
        <w:rPr>
          <w:i/>
          <w:iCs/>
        </w:rPr>
        <w:t xml:space="preserve">SE </w:t>
      </w:r>
      <w:r>
        <w:t xml:space="preserve">at the right time does not help. Although a minority opinion holds that if one starts </w:t>
      </w:r>
      <w:r>
        <w:rPr>
          <w:i/>
          <w:iCs/>
        </w:rPr>
        <w:t xml:space="preserve">SE </w:t>
      </w:r>
      <w:r>
        <w:t xml:space="preserve">at the right time, he is </w:t>
      </w:r>
      <w:proofErr w:type="spellStart"/>
      <w:r>
        <w:rPr>
          <w:i/>
          <w:iCs/>
        </w:rPr>
        <w:t>yotzei</w:t>
      </w:r>
      <w:proofErr w:type="spellEnd"/>
      <w:r>
        <w:t xml:space="preserve"> even if he finishes after the end point, that is because the beginning may have special importance (see </w:t>
      </w:r>
      <w:proofErr w:type="spellStart"/>
      <w:r>
        <w:t>Aruch</w:t>
      </w:r>
      <w:proofErr w:type="spellEnd"/>
      <w:r>
        <w:t xml:space="preserve"> </w:t>
      </w:r>
      <w:proofErr w:type="spellStart"/>
      <w:r>
        <w:t>Hashulchan</w:t>
      </w:r>
      <w:proofErr w:type="spellEnd"/>
      <w:r>
        <w:t>, OC 110:5). The end does not have such importance!</w:t>
      </w:r>
    </w:p>
    <w:p w14:paraId="2093D617" w14:textId="77777777" w:rsidR="00DA2BBC" w:rsidRDefault="00DA2BBC" w:rsidP="00DA2BBC">
      <w:pPr>
        <w:bidi w:val="0"/>
        <w:ind w:firstLine="450"/>
      </w:pPr>
      <w:r>
        <w:t xml:space="preserve">What is helpful is that your case occurred in early winter. It is not clear whether the half hour is a </w:t>
      </w:r>
      <w:proofErr w:type="spellStart"/>
      <w:r>
        <w:rPr>
          <w:i/>
          <w:iCs/>
        </w:rPr>
        <w:t>sha’ah</w:t>
      </w:r>
      <w:proofErr w:type="spellEnd"/>
      <w:r>
        <w:rPr>
          <w:i/>
          <w:iCs/>
        </w:rPr>
        <w:t xml:space="preserve"> </w:t>
      </w:r>
      <w:proofErr w:type="spellStart"/>
      <w:r>
        <w:rPr>
          <w:i/>
          <w:iCs/>
        </w:rPr>
        <w:t>zemanit</w:t>
      </w:r>
      <w:proofErr w:type="spellEnd"/>
      <w:r>
        <w:t xml:space="preserve"> or 30 minutes on the clock (see </w:t>
      </w:r>
      <w:proofErr w:type="spellStart"/>
      <w:r>
        <w:t>Sha’ar</w:t>
      </w:r>
      <w:proofErr w:type="spellEnd"/>
      <w:r>
        <w:t xml:space="preserve"> </w:t>
      </w:r>
      <w:proofErr w:type="spellStart"/>
      <w:r>
        <w:t>Hatziyun</w:t>
      </w:r>
      <w:proofErr w:type="spellEnd"/>
      <w:r>
        <w:t xml:space="preserve"> 233:8), and most calendars are </w:t>
      </w:r>
      <w:proofErr w:type="spellStart"/>
      <w:r>
        <w:rPr>
          <w:i/>
          <w:iCs/>
        </w:rPr>
        <w:t>machmir</w:t>
      </w:r>
      <w:proofErr w:type="spellEnd"/>
      <w:r>
        <w:t xml:space="preserve"> in both directions. Therefore, you started before the end of the 30 minutes, but after half of a winter </w:t>
      </w:r>
      <w:proofErr w:type="spellStart"/>
      <w:r>
        <w:rPr>
          <w:i/>
          <w:iCs/>
        </w:rPr>
        <w:t>sha’ah</w:t>
      </w:r>
      <w:proofErr w:type="spellEnd"/>
      <w:r>
        <w:rPr>
          <w:i/>
          <w:iCs/>
        </w:rPr>
        <w:t xml:space="preserve"> </w:t>
      </w:r>
      <w:proofErr w:type="spellStart"/>
      <w:r>
        <w:rPr>
          <w:i/>
          <w:iCs/>
        </w:rPr>
        <w:t>zemanit</w:t>
      </w:r>
      <w:proofErr w:type="spellEnd"/>
      <w:r>
        <w:t xml:space="preserve">. </w:t>
      </w:r>
      <w:proofErr w:type="gramStart"/>
      <w:r>
        <w:t>Your</w:t>
      </w:r>
      <w:proofErr w:type="gramEnd"/>
      <w:r>
        <w:t xml:space="preserve"> being a woman might call for slight leniency. Women are obligated in </w:t>
      </w:r>
      <w:r>
        <w:rPr>
          <w:i/>
          <w:iCs/>
        </w:rPr>
        <w:t>tefilla</w:t>
      </w:r>
      <w:r>
        <w:t xml:space="preserve">, but </w:t>
      </w:r>
      <w:r>
        <w:rPr>
          <w:b/>
          <w:bCs/>
        </w:rPr>
        <w:t>some</w:t>
      </w:r>
      <w:r>
        <w:t xml:space="preserve"> say that once a day suffices (see Mishna </w:t>
      </w:r>
      <w:proofErr w:type="spellStart"/>
      <w:r>
        <w:t>Berura</w:t>
      </w:r>
      <w:proofErr w:type="spellEnd"/>
      <w:r>
        <w:t xml:space="preserve"> 106:4). Even if you </w:t>
      </w:r>
      <w:r>
        <w:rPr>
          <w:i/>
          <w:iCs/>
        </w:rPr>
        <w:t xml:space="preserve">daven </w:t>
      </w:r>
      <w:proofErr w:type="spellStart"/>
      <w:r>
        <w:rPr>
          <w:i/>
          <w:iCs/>
        </w:rPr>
        <w:t>Mincha</w:t>
      </w:r>
      <w:proofErr w:type="spellEnd"/>
      <w:r>
        <w:t xml:space="preserve"> regularly, this doubt can be added to the others. </w:t>
      </w:r>
    </w:p>
    <w:p w14:paraId="6288F810" w14:textId="77777777" w:rsidR="00DA2BBC" w:rsidRDefault="00DA2BBC" w:rsidP="00DA2BBC">
      <w:pPr>
        <w:bidi w:val="0"/>
        <w:ind w:firstLine="450"/>
      </w:pPr>
      <w:r>
        <w:t xml:space="preserve">Most </w:t>
      </w:r>
      <w:proofErr w:type="spellStart"/>
      <w:r>
        <w:rPr>
          <w:i/>
          <w:iCs/>
        </w:rPr>
        <w:t>poskim</w:t>
      </w:r>
      <w:proofErr w:type="spellEnd"/>
      <w:r>
        <w:t xml:space="preserve"> rule that one who </w:t>
      </w:r>
      <w:r>
        <w:rPr>
          <w:i/>
          <w:iCs/>
        </w:rPr>
        <w:t>davened</w:t>
      </w:r>
      <w:r>
        <w:t xml:space="preserve"> </w:t>
      </w:r>
      <w:proofErr w:type="spellStart"/>
      <w:r>
        <w:rPr>
          <w:i/>
          <w:iCs/>
        </w:rPr>
        <w:t>Mincha</w:t>
      </w:r>
      <w:proofErr w:type="spellEnd"/>
      <w:r>
        <w:rPr>
          <w:i/>
          <w:iCs/>
        </w:rPr>
        <w:t xml:space="preserve"> </w:t>
      </w:r>
      <w:r>
        <w:t xml:space="preserve">during the half hour after </w:t>
      </w:r>
      <w:proofErr w:type="spellStart"/>
      <w:r>
        <w:rPr>
          <w:i/>
          <w:iCs/>
        </w:rPr>
        <w:t>chatzot</w:t>
      </w:r>
      <w:proofErr w:type="spellEnd"/>
      <w:r>
        <w:t xml:space="preserve"> was </w:t>
      </w:r>
      <w:proofErr w:type="spellStart"/>
      <w:r>
        <w:rPr>
          <w:i/>
          <w:iCs/>
        </w:rPr>
        <w:t>yotzei</w:t>
      </w:r>
      <w:proofErr w:type="spellEnd"/>
      <w:r>
        <w:rPr>
          <w:i/>
          <w:iCs/>
        </w:rPr>
        <w:t xml:space="preserve"> </w:t>
      </w:r>
      <w:r>
        <w:t xml:space="preserve">(see </w:t>
      </w:r>
      <w:proofErr w:type="spellStart"/>
      <w:r>
        <w:t>Ishei</w:t>
      </w:r>
      <w:proofErr w:type="spellEnd"/>
      <w:r>
        <w:t xml:space="preserve"> Yisrael 27:5; Tefilla </w:t>
      </w:r>
      <w:proofErr w:type="spellStart"/>
      <w:r>
        <w:t>K’hilchata</w:t>
      </w:r>
      <w:proofErr w:type="spellEnd"/>
      <w:r>
        <w:t xml:space="preserve"> 3:39). This is clearer in your case due to the additional indications.  </w:t>
      </w:r>
    </w:p>
    <w:p w14:paraId="6E5416C2" w14:textId="77777777" w:rsidR="0000133E" w:rsidRDefault="0000133E" w:rsidP="0000133E">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3049D2"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77FBFB52" w14:textId="361DC104" w:rsidR="004B477E" w:rsidRPr="001053CD" w:rsidRDefault="004B477E" w:rsidP="001053CD">
      <w:pPr>
        <w:bidi w:val="0"/>
        <w:rPr>
          <w:b/>
          <w:bCs/>
          <w:color w:val="D85640"/>
          <w:sz w:val="28"/>
          <w:szCs w:val="28"/>
        </w:rPr>
      </w:pPr>
      <w:r w:rsidRPr="001053CD">
        <w:rPr>
          <w:b/>
          <w:bCs/>
          <w:i/>
          <w:iCs/>
          <w:color w:val="D85640"/>
          <w:sz w:val="28"/>
          <w:szCs w:val="28"/>
        </w:rPr>
        <w:t>Eretz Yisrael</w:t>
      </w:r>
      <w:r w:rsidRPr="001053CD">
        <w:rPr>
          <w:b/>
          <w:bCs/>
          <w:color w:val="D85640"/>
          <w:sz w:val="28"/>
          <w:szCs w:val="28"/>
        </w:rPr>
        <w:t xml:space="preserve"> in Halacha and in Sanctity – part I</w:t>
      </w:r>
      <w:r w:rsidR="00DA2BBC" w:rsidRPr="001053CD">
        <w:rPr>
          <w:b/>
          <w:bCs/>
          <w:color w:val="D85640"/>
          <w:sz w:val="28"/>
          <w:szCs w:val="28"/>
        </w:rPr>
        <w:t>I</w:t>
      </w:r>
    </w:p>
    <w:p w14:paraId="18E57BC4" w14:textId="77777777" w:rsidR="004B477E" w:rsidRPr="001053CD" w:rsidRDefault="004B477E" w:rsidP="001053CD">
      <w:pPr>
        <w:bidi w:val="0"/>
        <w:rPr>
          <w:rFonts w:cs="Miriam"/>
          <w:lang w:eastAsia="he-IL"/>
        </w:rPr>
      </w:pPr>
      <w:r w:rsidRPr="001053CD">
        <w:t xml:space="preserve">Based on </w:t>
      </w:r>
      <w:proofErr w:type="spellStart"/>
      <w:r w:rsidRPr="001053CD">
        <w:t>Siach</w:t>
      </w:r>
      <w:proofErr w:type="spellEnd"/>
      <w:r w:rsidRPr="001053CD">
        <w:t xml:space="preserve"> Shaul, </w:t>
      </w:r>
      <w:proofErr w:type="spellStart"/>
      <w:r w:rsidRPr="001053CD">
        <w:t>Pirkei</w:t>
      </w:r>
      <w:proofErr w:type="spellEnd"/>
      <w:r w:rsidRPr="001053CD">
        <w:t xml:space="preserve"> </w:t>
      </w:r>
      <w:proofErr w:type="spellStart"/>
      <w:r w:rsidRPr="001053CD">
        <w:t>Machshava</w:t>
      </w:r>
      <w:proofErr w:type="spellEnd"/>
      <w:r w:rsidRPr="001053CD">
        <w:t xml:space="preserve"> </w:t>
      </w:r>
      <w:proofErr w:type="spellStart"/>
      <w:r w:rsidRPr="001053CD">
        <w:t>V’Hadracha</w:t>
      </w:r>
      <w:proofErr w:type="spellEnd"/>
      <w:r w:rsidRPr="001053CD">
        <w:t xml:space="preserve"> p. 137</w:t>
      </w:r>
    </w:p>
    <w:p w14:paraId="36C9D529" w14:textId="77777777" w:rsidR="004B477E" w:rsidRDefault="004B477E" w:rsidP="004B477E">
      <w:pPr>
        <w:bidi w:val="0"/>
        <w:ind w:firstLine="360"/>
      </w:pPr>
    </w:p>
    <w:p w14:paraId="52690922" w14:textId="77777777" w:rsidR="00DA2BBC" w:rsidRDefault="00DA2BBC" w:rsidP="00DA2BBC">
      <w:pPr>
        <w:bidi w:val="0"/>
        <w:ind w:firstLine="360"/>
      </w:pPr>
    </w:p>
    <w:p w14:paraId="6C37CAE2" w14:textId="67A883AC" w:rsidR="00116F9E" w:rsidRDefault="00116F9E" w:rsidP="00116F9E">
      <w:pPr>
        <w:bidi w:val="0"/>
        <w:spacing w:line="276" w:lineRule="auto"/>
        <w:ind w:firstLine="360"/>
        <w:rPr>
          <w:i/>
          <w:iCs/>
        </w:rPr>
      </w:pPr>
      <w:r>
        <w:t xml:space="preserve"> [</w:t>
      </w:r>
      <w:r>
        <w:rPr>
          <w:i/>
          <w:iCs/>
        </w:rPr>
        <w:t>We continue with analysis of classical Jewish philosophers and applications to contemporary times.</w:t>
      </w:r>
      <w:r>
        <w:t>]</w:t>
      </w:r>
      <w:r>
        <w:rPr>
          <w:i/>
          <w:iCs/>
        </w:rPr>
        <w:t xml:space="preserve">  </w:t>
      </w:r>
    </w:p>
    <w:p w14:paraId="336F2601" w14:textId="77777777" w:rsidR="00116F9E" w:rsidRDefault="00116F9E" w:rsidP="00116F9E">
      <w:pPr>
        <w:bidi w:val="0"/>
        <w:spacing w:line="276" w:lineRule="auto"/>
        <w:ind w:firstLine="360"/>
      </w:pPr>
      <w:r>
        <w:t xml:space="preserve">Regarding the Rambam and </w:t>
      </w:r>
      <w:proofErr w:type="spellStart"/>
      <w:r>
        <w:t>Rihal</w:t>
      </w:r>
      <w:proofErr w:type="spellEnd"/>
      <w:r>
        <w:t xml:space="preserve"> (R. Yehuda Halevi), you claimed at length that Maskilim were overly dependent on their opinions. You should realize, though, that not everything that was “touched” by the Maskilim became unfit for use because they touched it. The main question is what conclusions one draws from it. I don’t think that someone who reads what I wrote will take on an outlook of rationalism. It is worthwhile to know that there are differences between the Rambam and </w:t>
      </w:r>
      <w:proofErr w:type="spellStart"/>
      <w:r>
        <w:t>Rihal</w:t>
      </w:r>
      <w:proofErr w:type="spellEnd"/>
      <w:r>
        <w:t xml:space="preserve">, and that </w:t>
      </w:r>
      <w:proofErr w:type="spellStart"/>
      <w:r>
        <w:t>Rihal</w:t>
      </w:r>
      <w:proofErr w:type="spellEnd"/>
      <w:r>
        <w:t xml:space="preserve"> criticizes that which he calls “the god of Aristotle,” whereas the Rambam saw in him brilliant approaches. It is important to stress this and learn it in great depth. It is also clear that the way </w:t>
      </w:r>
      <w:proofErr w:type="spellStart"/>
      <w:r>
        <w:t>Rihal</w:t>
      </w:r>
      <w:proofErr w:type="spellEnd"/>
      <w:r>
        <w:t xml:space="preserve"> views the concept of loving Hashem is very different from that of the Rambam. It is neither critical nor even worthwhile to blur the differences between their conceptions. </w:t>
      </w:r>
    </w:p>
    <w:p w14:paraId="4A11CF67" w14:textId="77777777" w:rsidR="00116F9E" w:rsidRDefault="00116F9E" w:rsidP="00116F9E">
      <w:pPr>
        <w:bidi w:val="0"/>
        <w:spacing w:line="276" w:lineRule="auto"/>
        <w:ind w:firstLine="360"/>
      </w:pPr>
      <w:r>
        <w:t xml:space="preserve">The difference in the grasp of the concept of Israel is also undeniable. The Rambam (Commentary on the </w:t>
      </w:r>
      <w:r>
        <w:rPr>
          <w:i/>
          <w:iCs/>
        </w:rPr>
        <w:t>Mishna</w:t>
      </w:r>
      <w:r>
        <w:t xml:space="preserve">) assumes fundamentally that for a person to be a complete person, he must grasp things intellectually. This connects to the Rambam’s distinction between </w:t>
      </w:r>
      <w:r>
        <w:rPr>
          <w:i/>
          <w:iCs/>
        </w:rPr>
        <w:t>mitzvot</w:t>
      </w:r>
      <w:r>
        <w:t xml:space="preserve"> of contemplation and </w:t>
      </w:r>
      <w:r>
        <w:rPr>
          <w:i/>
          <w:iCs/>
        </w:rPr>
        <w:t xml:space="preserve">mitzvot </w:t>
      </w:r>
      <w:r>
        <w:t>of actions and his position that if one serves Hashem without proper thought, it is as if he worships a different god. Considering this, when the Rambam stresses that whoever is not convinced there is prophecy in the world is one whose fathers did not stand on Sinai or that Hashem will not break His covenant are only things he said to deal with times of [religious] danger. This is because the Rambam posits that a person’s service of Hashem is in his intellectual side and not in the attributes he inherited from his forebears.</w:t>
      </w:r>
    </w:p>
    <w:p w14:paraId="284E707F" w14:textId="77777777" w:rsidR="00116F9E" w:rsidRDefault="00116F9E" w:rsidP="00116F9E">
      <w:pPr>
        <w:bidi w:val="0"/>
        <w:spacing w:line="276" w:lineRule="auto"/>
        <w:ind w:firstLine="360"/>
      </w:pPr>
      <w:r>
        <w:t xml:space="preserve">In contrast, </w:t>
      </w:r>
      <w:proofErr w:type="spellStart"/>
      <w:r>
        <w:t>Rihal</w:t>
      </w:r>
      <w:proofErr w:type="spellEnd"/>
      <w:r>
        <w:t xml:space="preserve"> continuously talks about the innate uniqueness of Israel, which comes to them as an “inheritance from their forebears,” and that this is the main thing, in contrast to intellectual achievement, which is of secondary significance. Obviously, there are differences, and I just noted that we pointed out the disagreements without deciding which opinion is to be accepted.</w:t>
      </w:r>
    </w:p>
    <w:p w14:paraId="643E75F3" w14:textId="77777777" w:rsidR="00116F9E" w:rsidRDefault="00116F9E" w:rsidP="00116F9E">
      <w:pPr>
        <w:bidi w:val="0"/>
        <w:spacing w:line="276" w:lineRule="auto"/>
        <w:ind w:firstLine="360"/>
      </w:pPr>
      <w:r>
        <w:t xml:space="preserve"> I wrote that the need for laborers, soldiers, and great scientists is positive, and you deduced from this that “there is no problem whatsoever for a person to not dedicate himself to Torah study.” By adding on to what I said, you caused a distortion. I only said that the world is built on dividing tasks between different people, and since Hashem built on this assumption, the situation is a preferred one. Clearly, all the professions that enable people to be steeped in Torah study are critical for the world, and the fact that people enter such professions, is according to the divine plan for the world’s development. This is what the Rambam says on the question as to why the world has people who cannot reach intellectual achievement. The answer is that they are needed to provide things for those who are capable of the achievement. In other words, we are to view the world as one in which people are acting according to the set plan. </w:t>
      </w:r>
    </w:p>
    <w:p w14:paraId="4B3FE5DC" w14:textId="77777777" w:rsidR="00116F9E" w:rsidRDefault="00116F9E" w:rsidP="00116F9E">
      <w:pPr>
        <w:bidi w:val="0"/>
        <w:spacing w:line="276" w:lineRule="auto"/>
        <w:ind w:firstLine="360"/>
      </w:pPr>
      <w:r>
        <w:t xml:space="preserve">Therefore, there is no contradiction between the matter of the world and the question of the individual. It is better to be the unique intellectually achieving person than to be one of the many who are made to provide for him. Yet, for each of the people there is a positive purpose. The main difference is whether we look at simple laborers as those who are damaging the world (see Shabbat 33b) or people who deserve mutual respect (see </w:t>
      </w:r>
      <w:proofErr w:type="spellStart"/>
      <w:r>
        <w:t>Berachot</w:t>
      </w:r>
      <w:proofErr w:type="spellEnd"/>
      <w:r>
        <w:t xml:space="preserve"> 17a). Should Torah scholars stay secluded, concerned about themselves, and look down on others in a disapproving and haughty way? Or, should the scholars see themselves as responsible for the whole community and appreciate those who are helping provide for them. This is what I meant.  </w:t>
      </w:r>
    </w:p>
    <w:p w14:paraId="695938F3" w14:textId="6D62090D" w:rsidR="00E56DCA" w:rsidRDefault="00E56DCA" w:rsidP="00116F9E">
      <w:pPr>
        <w:bidi w:val="0"/>
        <w:ind w:firstLine="360"/>
        <w:rPr>
          <w:i/>
          <w:iCs/>
        </w:rPr>
      </w:pPr>
    </w:p>
    <w:p w14:paraId="0C7DE174" w14:textId="77777777" w:rsidR="004B477E" w:rsidRPr="00857630" w:rsidRDefault="004B477E" w:rsidP="004B477E">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r>
              <w:rPr>
                <w:rFonts w:ascii="Times New Roman" w:hAnsi="Times New Roman" w:cs="Times New Roman"/>
                <w:b/>
                <w:bCs/>
                <w:color w:val="1F4E79"/>
              </w:rPr>
              <w:t xml:space="preserve">Itamar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2"/>
        <w:bidi w:val="0"/>
        <w:spacing w:before="0" w:after="0"/>
        <w:rPr>
          <w:i w:val="0"/>
          <w:iCs w:val="0"/>
          <w:color w:val="D85640"/>
        </w:rPr>
      </w:pPr>
    </w:p>
    <w:p w14:paraId="3D73D32D" w14:textId="77777777" w:rsidR="00572D18" w:rsidRDefault="00572D18" w:rsidP="00572D18">
      <w:pPr>
        <w:pStyle w:val="2"/>
        <w:bidi w:val="0"/>
        <w:spacing w:before="0" w:after="0"/>
        <w:rPr>
          <w:i w:val="0"/>
          <w:iCs w:val="0"/>
          <w:color w:val="D85640"/>
        </w:rPr>
      </w:pPr>
    </w:p>
    <w:p w14:paraId="140850BD" w14:textId="14C3FAA9" w:rsidR="00E74F58" w:rsidRDefault="00E74F58" w:rsidP="00572D18">
      <w:pPr>
        <w:pStyle w:val="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AFA3F0" w14:textId="173C054C" w:rsidR="00D435B5" w:rsidRPr="00D435B5" w:rsidRDefault="00D435B5" w:rsidP="00D435B5">
      <w:pPr>
        <w:pStyle w:val="2"/>
        <w:bidi w:val="0"/>
        <w:spacing w:before="0" w:after="0"/>
        <w:rPr>
          <w:i w:val="0"/>
          <w:iCs w:val="0"/>
          <w:sz w:val="20"/>
        </w:rPr>
      </w:pPr>
      <w:r w:rsidRPr="00D435B5">
        <w:rPr>
          <w:i w:val="0"/>
          <w:iCs w:val="0"/>
          <w:color w:val="D85640"/>
        </w:rPr>
        <w:t xml:space="preserve">A Contractor’s Leaving the Job in the Middle – part </w:t>
      </w:r>
      <w:r w:rsidR="00CD59E9">
        <w:rPr>
          <w:i w:val="0"/>
          <w:iCs w:val="0"/>
          <w:color w:val="D85640"/>
        </w:rPr>
        <w:t>I</w:t>
      </w:r>
      <w:r w:rsidR="00116F9E">
        <w:rPr>
          <w:i w:val="0"/>
          <w:iCs w:val="0"/>
          <w:color w:val="D85640"/>
        </w:rPr>
        <w:t>I</w:t>
      </w:r>
      <w:r w:rsidRPr="00D435B5">
        <w:rPr>
          <w:i w:val="0"/>
          <w:iCs w:val="0"/>
          <w:sz w:val="20"/>
        </w:rPr>
        <w:t xml:space="preserve"> </w:t>
      </w:r>
    </w:p>
    <w:p w14:paraId="1E3110CC" w14:textId="77777777" w:rsidR="00D435B5" w:rsidRPr="00D435B5" w:rsidRDefault="00D435B5" w:rsidP="00D435B5">
      <w:pPr>
        <w:pStyle w:val="2"/>
        <w:bidi w:val="0"/>
        <w:spacing w:before="0" w:after="0"/>
        <w:rPr>
          <w:b w:val="0"/>
          <w:bCs w:val="0"/>
          <w:i w:val="0"/>
          <w:iCs w:val="0"/>
          <w:sz w:val="22"/>
          <w:szCs w:val="18"/>
        </w:rPr>
      </w:pPr>
      <w:r w:rsidRPr="00D435B5">
        <w:rPr>
          <w:b w:val="0"/>
          <w:bCs w:val="0"/>
          <w:i w:val="0"/>
          <w:iCs w:val="0"/>
          <w:sz w:val="20"/>
        </w:rPr>
        <w:t>(</w:t>
      </w:r>
      <w:proofErr w:type="gramStart"/>
      <w:r w:rsidRPr="00D435B5">
        <w:rPr>
          <w:b w:val="0"/>
          <w:bCs w:val="0"/>
          <w:i w:val="0"/>
          <w:iCs w:val="0"/>
          <w:sz w:val="20"/>
        </w:rPr>
        <w:t>based</w:t>
      </w:r>
      <w:proofErr w:type="gramEnd"/>
      <w:r w:rsidRPr="00D435B5">
        <w:rPr>
          <w:b w:val="0"/>
          <w:bCs w:val="0"/>
          <w:i w:val="0"/>
          <w:iCs w:val="0"/>
          <w:sz w:val="20"/>
        </w:rPr>
        <w:t xml:space="preserve"> on ruling 84013 of the Eretz Hemdah-</w:t>
      </w:r>
      <w:proofErr w:type="spellStart"/>
      <w:r w:rsidRPr="00D435B5">
        <w:rPr>
          <w:b w:val="0"/>
          <w:bCs w:val="0"/>
          <w:i w:val="0"/>
          <w:iCs w:val="0"/>
          <w:sz w:val="20"/>
        </w:rPr>
        <w:t>Gazit</w:t>
      </w:r>
      <w:proofErr w:type="spellEnd"/>
      <w:r w:rsidRPr="00D435B5">
        <w:rPr>
          <w:b w:val="0"/>
          <w:bCs w:val="0"/>
          <w:i w:val="0"/>
          <w:iCs w:val="0"/>
          <w:sz w:val="20"/>
        </w:rPr>
        <w:t xml:space="preserve"> Rabbinical Courts)</w:t>
      </w:r>
    </w:p>
    <w:p w14:paraId="5B5E1715" w14:textId="77777777" w:rsidR="00D435B5" w:rsidRPr="006C633B" w:rsidRDefault="00D435B5" w:rsidP="00D435B5">
      <w:pPr>
        <w:bidi w:val="0"/>
        <w:rPr>
          <w:sz w:val="24"/>
        </w:rPr>
      </w:pPr>
    </w:p>
    <w:p w14:paraId="05BDE216" w14:textId="220F7E5B" w:rsidR="00CD59E9" w:rsidRDefault="00CD59E9" w:rsidP="00CD59E9">
      <w:pPr>
        <w:bidi w:val="0"/>
        <w:jc w:val="both"/>
        <w:rPr>
          <w:sz w:val="24"/>
        </w:rPr>
      </w:pPr>
    </w:p>
    <w:p w14:paraId="617AFC68" w14:textId="77777777" w:rsidR="00116F9E" w:rsidRDefault="00116F9E" w:rsidP="00116F9E">
      <w:pPr>
        <w:bidi w:val="0"/>
        <w:spacing w:line="276" w:lineRule="auto"/>
      </w:pPr>
      <w:r>
        <w:rPr>
          <w:b/>
          <w:bCs/>
          <w:color w:val="D85640"/>
          <w:sz w:val="24"/>
          <w:u w:val="single"/>
        </w:rPr>
        <w:t>Case</w:t>
      </w:r>
      <w:r>
        <w:rPr>
          <w:b/>
          <w:bCs/>
          <w:color w:val="D85640"/>
          <w:sz w:val="24"/>
        </w:rPr>
        <w:t>:</w:t>
      </w:r>
      <w:r>
        <w:t xml:space="preserve"> The plaintiff (=</w:t>
      </w:r>
      <w:r>
        <w:rPr>
          <w:i/>
          <w:iCs/>
        </w:rPr>
        <w:t>pl</w:t>
      </w:r>
      <w:r>
        <w:t>) hired the defendant (=</w:t>
      </w:r>
      <w:r>
        <w:rPr>
          <w:i/>
          <w:iCs/>
        </w:rPr>
        <w:t>def</w:t>
      </w:r>
      <w:r>
        <w:t xml:space="preserve">) to do extensive renovations to her apartment for around 750,000 NIS. </w:t>
      </w:r>
      <w:r>
        <w:rPr>
          <w:i/>
          <w:iCs/>
        </w:rPr>
        <w:t xml:space="preserve">Def </w:t>
      </w:r>
      <w:r>
        <w:t xml:space="preserve">began the work and over time received around 370,000 NIS from </w:t>
      </w:r>
      <w:r>
        <w:rPr>
          <w:i/>
          <w:iCs/>
        </w:rPr>
        <w:t>pl</w:t>
      </w:r>
      <w:r>
        <w:t xml:space="preserve">. </w:t>
      </w:r>
      <w:r>
        <w:rPr>
          <w:i/>
          <w:iCs/>
        </w:rPr>
        <w:t>Pl</w:t>
      </w:r>
      <w:r>
        <w:t xml:space="preserve"> claims that, at some point, she began becoming suspicious that the amount of money </w:t>
      </w:r>
      <w:r>
        <w:rPr>
          <w:i/>
          <w:iCs/>
        </w:rPr>
        <w:t>def</w:t>
      </w:r>
      <w:r>
        <w:t xml:space="preserve"> was requesting was not in line with the work he had done and that </w:t>
      </w:r>
      <w:r>
        <w:rPr>
          <w:i/>
          <w:iCs/>
        </w:rPr>
        <w:t>def</w:t>
      </w:r>
      <w:r>
        <w:t xml:space="preserve"> was barely on the site and was well behind schedule. She demanded that </w:t>
      </w:r>
      <w:r>
        <w:rPr>
          <w:i/>
          <w:iCs/>
        </w:rPr>
        <w:t xml:space="preserve">def </w:t>
      </w:r>
      <w:r>
        <w:t xml:space="preserve">justify in writing the money requested in relation to the work completed. </w:t>
      </w:r>
      <w:r>
        <w:rPr>
          <w:i/>
          <w:iCs/>
        </w:rPr>
        <w:t>Def</w:t>
      </w:r>
      <w:r>
        <w:t xml:space="preserve"> did not do this and also demanded an increase in pay due to </w:t>
      </w:r>
      <w:r>
        <w:rPr>
          <w:i/>
          <w:iCs/>
        </w:rPr>
        <w:t xml:space="preserve">pl </w:t>
      </w:r>
      <w:r>
        <w:t xml:space="preserve">asking for additions and his own mistaken underpricing. </w:t>
      </w:r>
      <w:r>
        <w:rPr>
          <w:i/>
          <w:iCs/>
        </w:rPr>
        <w:t xml:space="preserve">Pl </w:t>
      </w:r>
      <w:r>
        <w:t xml:space="preserve">refused, and </w:t>
      </w:r>
      <w:r>
        <w:rPr>
          <w:i/>
          <w:iCs/>
        </w:rPr>
        <w:t xml:space="preserve">def </w:t>
      </w:r>
      <w:r>
        <w:t xml:space="preserve">stopped the work. </w:t>
      </w:r>
      <w:r>
        <w:rPr>
          <w:i/>
          <w:iCs/>
        </w:rPr>
        <w:t>Pl</w:t>
      </w:r>
      <w:r>
        <w:t xml:space="preserve"> demands a return of money that exceeded the work done and compensation for building flaws.</w:t>
      </w:r>
    </w:p>
    <w:p w14:paraId="4631FDB8" w14:textId="77777777" w:rsidR="00116F9E" w:rsidRDefault="00116F9E" w:rsidP="00116F9E">
      <w:pPr>
        <w:bidi w:val="0"/>
        <w:spacing w:line="276" w:lineRule="auto"/>
        <w:jc w:val="both"/>
        <w:rPr>
          <w:sz w:val="22"/>
          <w:szCs w:val="22"/>
        </w:rPr>
      </w:pPr>
      <w:r>
        <w:t xml:space="preserve">  </w:t>
      </w:r>
    </w:p>
    <w:p w14:paraId="06DF50D1" w14:textId="77777777" w:rsidR="00116F9E" w:rsidRDefault="00116F9E" w:rsidP="00116F9E">
      <w:pPr>
        <w:bidi w:val="0"/>
        <w:spacing w:line="276" w:lineRule="auto"/>
        <w:rPr>
          <w:rFonts w:cs="Miriam"/>
        </w:rPr>
      </w:pPr>
      <w:r>
        <w:rPr>
          <w:b/>
          <w:bCs/>
          <w:color w:val="D85640"/>
          <w:sz w:val="24"/>
          <w:szCs w:val="24"/>
          <w:u w:val="single"/>
        </w:rPr>
        <w:t>Ruling</w:t>
      </w:r>
      <w:r>
        <w:rPr>
          <w:b/>
          <w:bCs/>
          <w:color w:val="D85640"/>
          <w:sz w:val="24"/>
          <w:szCs w:val="24"/>
        </w:rPr>
        <w:t>:</w:t>
      </w:r>
      <w:r>
        <w:t xml:space="preserve"> [</w:t>
      </w:r>
      <w:r>
        <w:rPr>
          <w:i/>
          <w:iCs/>
        </w:rPr>
        <w:t xml:space="preserve">After seeing that pl </w:t>
      </w:r>
      <w:r>
        <w:t xml:space="preserve">was correct regarding </w:t>
      </w:r>
      <w:r>
        <w:rPr>
          <w:i/>
          <w:iCs/>
        </w:rPr>
        <w:t>the “heart of the claim,” we are in the midst of exploring multiple smaller questions.</w:t>
      </w:r>
      <w:r>
        <w:t xml:space="preserve">]  </w:t>
      </w:r>
    </w:p>
    <w:p w14:paraId="402C14A7" w14:textId="77777777" w:rsidR="00116F9E" w:rsidRDefault="00116F9E" w:rsidP="00116F9E">
      <w:pPr>
        <w:bidi w:val="0"/>
        <w:spacing w:line="276" w:lineRule="auto"/>
        <w:ind w:firstLine="450"/>
      </w:pPr>
      <w:r>
        <w:rPr>
          <w:b/>
          <w:bCs/>
        </w:rPr>
        <w:t xml:space="preserve">Scaffolding: </w:t>
      </w:r>
      <w:r>
        <w:rPr>
          <w:i/>
          <w:iCs/>
        </w:rPr>
        <w:t>Def</w:t>
      </w:r>
      <w:r>
        <w:t xml:space="preserve"> wants extra pay for having built a scaffold to build a balcony off of the living room, even though at the end it was not used because neighbors prevented it. </w:t>
      </w:r>
      <w:r>
        <w:rPr>
          <w:i/>
          <w:iCs/>
        </w:rPr>
        <w:t>Pl</w:t>
      </w:r>
      <w:r>
        <w:t xml:space="preserve"> counters that </w:t>
      </w:r>
      <w:r>
        <w:rPr>
          <w:i/>
          <w:iCs/>
        </w:rPr>
        <w:t>def</w:t>
      </w:r>
      <w:r>
        <w:t xml:space="preserve"> did it on his own. There is communication between </w:t>
      </w:r>
      <w:r>
        <w:rPr>
          <w:i/>
          <w:iCs/>
        </w:rPr>
        <w:t>def</w:t>
      </w:r>
      <w:r>
        <w:t xml:space="preserve"> and </w:t>
      </w:r>
      <w:r>
        <w:rPr>
          <w:i/>
          <w:iCs/>
        </w:rPr>
        <w:t>pl</w:t>
      </w:r>
      <w:r>
        <w:t xml:space="preserve">’s son, who was authorized to represent his mother, in which </w:t>
      </w:r>
      <w:r>
        <w:rPr>
          <w:i/>
          <w:iCs/>
        </w:rPr>
        <w:t xml:space="preserve">def </w:t>
      </w:r>
      <w:r>
        <w:t xml:space="preserve">did initiate the change of the place of the balcony and expressed his expectation the neighbor will agree. What is important is that at the end, the son agreed to the change. Therefore, even if </w:t>
      </w:r>
      <w:r>
        <w:rPr>
          <w:i/>
          <w:iCs/>
        </w:rPr>
        <w:t>pl</w:t>
      </w:r>
      <w:r>
        <w:t xml:space="preserve"> did not end up gaining anything from this part of the work, </w:t>
      </w:r>
      <w:r>
        <w:rPr>
          <w:i/>
          <w:iCs/>
        </w:rPr>
        <w:t>pl</w:t>
      </w:r>
      <w:r>
        <w:t xml:space="preserve"> still has to pay for it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335:3).</w:t>
      </w:r>
    </w:p>
    <w:p w14:paraId="76212361" w14:textId="77777777" w:rsidR="00116F9E" w:rsidRDefault="00116F9E" w:rsidP="00116F9E">
      <w:pPr>
        <w:bidi w:val="0"/>
        <w:spacing w:line="276" w:lineRule="auto"/>
        <w:ind w:firstLine="450"/>
      </w:pPr>
      <w:r>
        <w:rPr>
          <w:b/>
          <w:bCs/>
        </w:rPr>
        <w:t xml:space="preserve">Changes and delays: </w:t>
      </w:r>
      <w:r>
        <w:rPr>
          <w:i/>
          <w:iCs/>
        </w:rPr>
        <w:t xml:space="preserve">Def </w:t>
      </w:r>
      <w:r>
        <w:t xml:space="preserve">claims to deserve extra pay for delays that </w:t>
      </w:r>
      <w:r>
        <w:rPr>
          <w:i/>
          <w:iCs/>
        </w:rPr>
        <w:t>pl</w:t>
      </w:r>
      <w:r>
        <w:t xml:space="preserve"> caused by making changes and because of new requests by the engineer. </w:t>
      </w:r>
      <w:r>
        <w:rPr>
          <w:i/>
          <w:iCs/>
        </w:rPr>
        <w:t>Pl</w:t>
      </w:r>
      <w:r>
        <w:t xml:space="preserve"> responds that almost all of the delays stemmed from what turned out to be </w:t>
      </w:r>
      <w:proofErr w:type="spellStart"/>
      <w:r>
        <w:rPr>
          <w:i/>
          <w:iCs/>
        </w:rPr>
        <w:t>def</w:t>
      </w:r>
      <w:r>
        <w:t>’s</w:t>
      </w:r>
      <w:proofErr w:type="spellEnd"/>
      <w:r>
        <w:t xml:space="preserve"> inexperience with a job of this magnitude; </w:t>
      </w:r>
      <w:r>
        <w:rPr>
          <w:i/>
          <w:iCs/>
        </w:rPr>
        <w:t>def</w:t>
      </w:r>
      <w:r>
        <w:t xml:space="preserve"> did not complain about these things as they were occurring. </w:t>
      </w:r>
      <w:r>
        <w:rPr>
          <w:i/>
          <w:iCs/>
        </w:rPr>
        <w:t>Beit din</w:t>
      </w:r>
      <w:r>
        <w:t xml:space="preserve"> notes that small changes and delays are a natural part of a major renovation job, and when a certain element of the work has a delay, one should be able to work on other parts of the project. Therefore, </w:t>
      </w:r>
      <w:r>
        <w:rPr>
          <w:i/>
          <w:iCs/>
        </w:rPr>
        <w:t xml:space="preserve">def </w:t>
      </w:r>
      <w:r>
        <w:t xml:space="preserve">has not made a sufficient case for an increase on his fees due to delays. </w:t>
      </w:r>
    </w:p>
    <w:p w14:paraId="705742D6" w14:textId="77777777" w:rsidR="00116F9E" w:rsidRDefault="00116F9E" w:rsidP="00116F9E">
      <w:pPr>
        <w:bidi w:val="0"/>
        <w:spacing w:line="276" w:lineRule="auto"/>
        <w:ind w:firstLine="450"/>
      </w:pPr>
      <w:r>
        <w:rPr>
          <w:b/>
          <w:bCs/>
        </w:rPr>
        <w:t xml:space="preserve">Mispricing: </w:t>
      </w:r>
      <w:r>
        <w:rPr>
          <w:i/>
          <w:iCs/>
        </w:rPr>
        <w:t xml:space="preserve">Def </w:t>
      </w:r>
      <w:r>
        <w:t xml:space="preserve">claims that he charged far too little and therefore should be able to void the contract and receive more for what he did. Also, </w:t>
      </w:r>
      <w:r>
        <w:rPr>
          <w:i/>
          <w:iCs/>
        </w:rPr>
        <w:t xml:space="preserve">def </w:t>
      </w:r>
      <w:r>
        <w:t xml:space="preserve">was unaware that due to the way the house was constructed (pre-fab), drilling is more difficult. </w:t>
      </w:r>
      <w:r>
        <w:rPr>
          <w:i/>
          <w:iCs/>
        </w:rPr>
        <w:t>Pl</w:t>
      </w:r>
      <w:r>
        <w:t xml:space="preserve"> rejects </w:t>
      </w:r>
      <w:proofErr w:type="spellStart"/>
      <w:r>
        <w:rPr>
          <w:i/>
          <w:iCs/>
        </w:rPr>
        <w:t>def</w:t>
      </w:r>
      <w:r>
        <w:t>’s</w:t>
      </w:r>
      <w:proofErr w:type="spellEnd"/>
      <w:r>
        <w:t xml:space="preserve"> ability to make such a claim since he spent a long time studying the job, made multiple visits, and asked for time to discuss with others. </w:t>
      </w:r>
      <w:r>
        <w:rPr>
          <w:i/>
          <w:iCs/>
        </w:rPr>
        <w:t>Beit din</w:t>
      </w:r>
      <w:r>
        <w:t xml:space="preserve"> rules that </w:t>
      </w:r>
      <w:r>
        <w:rPr>
          <w:i/>
          <w:iCs/>
        </w:rPr>
        <w:t>def</w:t>
      </w:r>
      <w:r>
        <w:t xml:space="preserve"> cannot back out of his price estimate. First, most of the fee was for work on things that are attached to the ground (see </w:t>
      </w:r>
      <w:proofErr w:type="spellStart"/>
      <w:r>
        <w:t>Pitchei</w:t>
      </w:r>
      <w:proofErr w:type="spellEnd"/>
      <w:r>
        <w:t xml:space="preserve"> Teshuva, CM 227:26) upon which there is no claim of mispricing. More fundamentally, </w:t>
      </w:r>
      <w:r>
        <w:rPr>
          <w:i/>
          <w:iCs/>
        </w:rPr>
        <w:t>pl</w:t>
      </w:r>
      <w:r>
        <w:t xml:space="preserve"> received estimates from several contractors, and it is not tenable to allow someone to win the contract with the lowest price and then remove the obligation to follow that price.   </w:t>
      </w:r>
    </w:p>
    <w:p w14:paraId="04BDF1E3" w14:textId="77777777" w:rsidR="00CD59E9" w:rsidRDefault="00CD59E9" w:rsidP="00316F85">
      <w:pPr>
        <w:pStyle w:val="aff0"/>
        <w:jc w:val="center"/>
        <w:rPr>
          <w:color w:val="365F91"/>
        </w:rPr>
      </w:pPr>
    </w:p>
    <w:p w14:paraId="3FF9BA6F" w14:textId="3AB9CB6D" w:rsidR="00316F85" w:rsidRDefault="00316F85" w:rsidP="00316F85">
      <w:pPr>
        <w:pStyle w:val="aff0"/>
        <w:jc w:val="center"/>
      </w:pPr>
      <w:r w:rsidRPr="0028756F">
        <w:rPr>
          <w:color w:val="365F91"/>
        </w:rPr>
        <w:t>Comments or questions regarding articles can be sent to:</w:t>
      </w:r>
      <w:r>
        <w:t xml:space="preserve">  </w:t>
      </w:r>
    </w:p>
    <w:p w14:paraId="6A72144E" w14:textId="77777777" w:rsidR="00316F85" w:rsidRDefault="003049D2" w:rsidP="00316F85">
      <w:pPr>
        <w:pStyle w:val="aff0"/>
        <w:jc w:val="center"/>
      </w:pPr>
      <w:hyperlink r:id="rId21" w:history="1">
        <w:r w:rsidR="00316F85">
          <w:rPr>
            <w:rStyle w:val="Hyperlink"/>
          </w:rPr>
          <w:t>info@eretzhemdah.org</w:t>
        </w:r>
      </w:hyperlink>
    </w:p>
    <w:p w14:paraId="3581E853" w14:textId="38E907FF" w:rsidR="00312FEE" w:rsidRDefault="00312FEE" w:rsidP="00316F85">
      <w:pPr>
        <w:pStyle w:val="aff0"/>
        <w:jc w:val="center"/>
      </w:pPr>
    </w:p>
    <w:p w14:paraId="41B9B24F" w14:textId="70E2E121" w:rsidR="00493D8D" w:rsidRDefault="00493D8D" w:rsidP="00316F85">
      <w:pPr>
        <w:pStyle w:val="aff0"/>
        <w:jc w:val="center"/>
      </w:pPr>
    </w:p>
    <w:p w14:paraId="1C4B2A82" w14:textId="77777777" w:rsidR="00493D8D" w:rsidRDefault="00493D8D" w:rsidP="00316F85">
      <w:pPr>
        <w:pStyle w:val="aff0"/>
        <w:jc w:val="center"/>
      </w:pPr>
    </w:p>
    <w:p w14:paraId="26A75838" w14:textId="77777777" w:rsidR="00316F85" w:rsidRDefault="00316F85" w:rsidP="00316F85">
      <w:pPr>
        <w:pStyle w:val="aff0"/>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a5"/>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a5"/>
      <w:tabs>
        <w:tab w:val="left" w:pos="6738"/>
        <w:tab w:val="right" w:pos="10798"/>
      </w:tabs>
      <w:rPr>
        <w:rFonts w:cs="David Transparent"/>
        <w:b/>
        <w:bCs/>
        <w:color w:val="333399"/>
        <w:sz w:val="14"/>
        <w:szCs w:val="14"/>
        <w:rtl/>
      </w:rPr>
    </w:pPr>
  </w:p>
  <w:p w14:paraId="2FA48B2E" w14:textId="77777777" w:rsidR="00973C63" w:rsidRDefault="00973C63" w:rsidP="000642DE">
    <w:pPr>
      <w:pStyle w:val="a5"/>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a5"/>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3CFB9931" w:rsidR="00973C63" w:rsidRDefault="00202AC2" w:rsidP="00202AC2">
    <w:pPr>
      <w:pStyle w:val="a5"/>
      <w:tabs>
        <w:tab w:val="left" w:pos="6738"/>
        <w:tab w:val="right" w:pos="10798"/>
      </w:tabs>
      <w:bidi w:val="0"/>
      <w:jc w:val="center"/>
      <w:rPr>
        <w:b/>
        <w:bCs/>
        <w:color w:val="D85640"/>
        <w:sz w:val="26"/>
        <w:szCs w:val="26"/>
      </w:rPr>
    </w:pPr>
    <w:r>
      <w:rPr>
        <w:b/>
        <w:bCs/>
        <w:color w:val="D85640"/>
        <w:sz w:val="26"/>
        <w:szCs w:val="26"/>
      </w:rPr>
      <w:t xml:space="preserve">                                                                                                            </w:t>
    </w:r>
    <w:r w:rsidR="00DA2BBC">
      <w:rPr>
        <w:b/>
        <w:bCs/>
        <w:color w:val="D85640"/>
        <w:sz w:val="26"/>
        <w:szCs w:val="26"/>
      </w:rPr>
      <w:t>Yitro</w:t>
    </w:r>
  </w:p>
  <w:p w14:paraId="347F05EA" w14:textId="77777777" w:rsidR="00202AC2" w:rsidRDefault="00202AC2" w:rsidP="00202AC2">
    <w:pPr>
      <w:pStyle w:val="a5"/>
      <w:tabs>
        <w:tab w:val="left" w:pos="6738"/>
        <w:tab w:val="right" w:pos="10798"/>
      </w:tabs>
      <w:bidi w:val="0"/>
      <w:jc w:val="center"/>
      <w:rPr>
        <w:b/>
        <w:bCs/>
        <w:color w:val="D85640"/>
        <w:sz w:val="26"/>
        <w:szCs w:val="26"/>
      </w:rPr>
    </w:pPr>
  </w:p>
  <w:p w14:paraId="7BCBEF30" w14:textId="77777777" w:rsidR="004A359E" w:rsidRDefault="004A359E" w:rsidP="004A359E">
    <w:pPr>
      <w:pStyle w:val="a5"/>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a5"/>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3CD"/>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9D2"/>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3CB"/>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809CB"/>
    <w:pPr>
      <w:bidi/>
    </w:pPr>
  </w:style>
  <w:style w:type="paragraph" w:styleId="1">
    <w:name w:val="heading 1"/>
    <w:basedOn w:val="a"/>
    <w:next w:val="a"/>
    <w:qFormat/>
    <w:rsid w:val="006E34FF"/>
    <w:pPr>
      <w:keepNext/>
      <w:spacing w:before="240" w:after="60"/>
      <w:outlineLvl w:val="0"/>
    </w:pPr>
    <w:rPr>
      <w:b/>
      <w:bCs/>
      <w:kern w:val="32"/>
      <w:sz w:val="32"/>
      <w:szCs w:val="32"/>
    </w:rPr>
  </w:style>
  <w:style w:type="paragraph" w:styleId="2">
    <w:name w:val="heading 2"/>
    <w:basedOn w:val="a"/>
    <w:next w:val="a"/>
    <w:link w:val="20"/>
    <w:qFormat/>
    <w:rsid w:val="00C8066C"/>
    <w:pPr>
      <w:keepNext/>
      <w:spacing w:before="240" w:after="60"/>
      <w:outlineLvl w:val="1"/>
    </w:pPr>
    <w:rPr>
      <w:b/>
      <w:bCs/>
      <w:i/>
      <w:iCs/>
      <w:sz w:val="28"/>
      <w:szCs w:val="28"/>
    </w:rPr>
  </w:style>
  <w:style w:type="paragraph" w:styleId="3">
    <w:name w:val="heading 3"/>
    <w:basedOn w:val="a"/>
    <w:next w:val="a"/>
    <w:qFormat/>
    <w:rsid w:val="00BC1F4D"/>
    <w:pPr>
      <w:keepNext/>
      <w:spacing w:before="240" w:after="60"/>
      <w:outlineLvl w:val="2"/>
    </w:pPr>
    <w:rPr>
      <w:b/>
      <w:bCs/>
      <w:sz w:val="26"/>
      <w:szCs w:val="26"/>
    </w:rPr>
  </w:style>
  <w:style w:type="paragraph" w:styleId="4">
    <w:name w:val="heading 4"/>
    <w:basedOn w:val="a"/>
    <w:next w:val="a"/>
    <w:qFormat/>
    <w:rsid w:val="000213D0"/>
    <w:pPr>
      <w:keepNext/>
      <w:spacing w:before="240" w:after="60"/>
      <w:outlineLvl w:val="3"/>
    </w:pPr>
    <w:rPr>
      <w:b/>
      <w:bCs/>
      <w:sz w:val="28"/>
      <w:szCs w:val="28"/>
    </w:rPr>
  </w:style>
  <w:style w:type="paragraph" w:styleId="5">
    <w:name w:val="heading 5"/>
    <w:basedOn w:val="a"/>
    <w:next w:val="a"/>
    <w:qFormat/>
    <w:rsid w:val="00A1508C"/>
    <w:pPr>
      <w:keepNext/>
      <w:outlineLvl w:val="4"/>
    </w:pPr>
    <w:rPr>
      <w:rFonts w:cs="Miriam"/>
      <w:b/>
      <w:bCs/>
      <w:lang w:eastAsia="he-IL"/>
    </w:rPr>
  </w:style>
  <w:style w:type="paragraph" w:styleId="6">
    <w:name w:val="heading 6"/>
    <w:basedOn w:val="a"/>
    <w:next w:val="a"/>
    <w:qFormat/>
    <w:rsid w:val="00C8066C"/>
    <w:pPr>
      <w:spacing w:before="240" w:after="60"/>
      <w:outlineLvl w:val="5"/>
    </w:pPr>
    <w:rPr>
      <w:b/>
      <w:bCs/>
      <w:sz w:val="22"/>
      <w:szCs w:val="22"/>
    </w:rPr>
  </w:style>
  <w:style w:type="paragraph" w:styleId="7">
    <w:name w:val="heading 7"/>
    <w:basedOn w:val="a"/>
    <w:next w:val="a"/>
    <w:qFormat/>
    <w:rsid w:val="00166F1A"/>
    <w:pPr>
      <w:keepNext/>
      <w:outlineLvl w:val="6"/>
    </w:pPr>
    <w:rPr>
      <w:sz w:val="26"/>
      <w:szCs w:val="26"/>
      <w:lang w:eastAsia="he-IL"/>
    </w:rPr>
  </w:style>
  <w:style w:type="paragraph" w:styleId="8">
    <w:name w:val="heading 8"/>
    <w:basedOn w:val="a"/>
    <w:next w:val="a"/>
    <w:qFormat/>
    <w:rsid w:val="00850C01"/>
    <w:pPr>
      <w:spacing w:before="240" w:after="60"/>
      <w:outlineLvl w:val="7"/>
    </w:pPr>
    <w:rPr>
      <w:i/>
      <w:iCs/>
    </w:rPr>
  </w:style>
  <w:style w:type="paragraph" w:styleId="9">
    <w:name w:val="heading 9"/>
    <w:basedOn w:val="a"/>
    <w:next w:val="a"/>
    <w:qFormat/>
    <w:rsid w:val="00203E0F"/>
    <w:pPr>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a4">
    <w:name w:val="Body Text Indent"/>
    <w:basedOn w:val="a"/>
    <w:rsid w:val="006E34FF"/>
    <w:pPr>
      <w:spacing w:after="120" w:line="480" w:lineRule="auto"/>
    </w:pPr>
    <w:rPr>
      <w:rFonts w:cs="David"/>
      <w:noProof/>
      <w:szCs w:val="28"/>
      <w:lang w:eastAsia="he-IL"/>
    </w:rPr>
  </w:style>
  <w:style w:type="paragraph" w:styleId="a5">
    <w:name w:val="header"/>
    <w:basedOn w:val="a"/>
    <w:rsid w:val="00B03246"/>
    <w:pPr>
      <w:tabs>
        <w:tab w:val="center" w:pos="4153"/>
        <w:tab w:val="right" w:pos="8306"/>
      </w:tabs>
    </w:pPr>
  </w:style>
  <w:style w:type="paragraph" w:styleId="a6">
    <w:name w:val="footer"/>
    <w:basedOn w:val="a"/>
    <w:rsid w:val="00B03246"/>
    <w:pPr>
      <w:tabs>
        <w:tab w:val="center" w:pos="4153"/>
        <w:tab w:val="right" w:pos="8306"/>
      </w:tabs>
    </w:pPr>
  </w:style>
  <w:style w:type="character" w:styleId="FollowedHyperlink">
    <w:name w:val="FollowedHyperlink"/>
    <w:rsid w:val="004F5888"/>
    <w:rPr>
      <w:color w:val="800080"/>
      <w:u w:val="single"/>
    </w:rPr>
  </w:style>
  <w:style w:type="paragraph" w:styleId="a7">
    <w:name w:val="footnote text"/>
    <w:basedOn w:val="a"/>
    <w:semiHidden/>
    <w:rsid w:val="00850C01"/>
    <w:pPr>
      <w:spacing w:line="360" w:lineRule="auto"/>
    </w:pPr>
    <w:rPr>
      <w:lang w:eastAsia="he-IL"/>
    </w:rPr>
  </w:style>
  <w:style w:type="character" w:styleId="a8">
    <w:name w:val="footnote reference"/>
    <w:semiHidden/>
    <w:rsid w:val="00850C01"/>
    <w:rPr>
      <w:rFonts w:ascii="Times New Roman" w:hAnsi="Times New Roman" w:cs="Times New Roman"/>
      <w:vertAlign w:val="superscript"/>
    </w:rPr>
  </w:style>
  <w:style w:type="paragraph" w:styleId="a9">
    <w:name w:val="endnote text"/>
    <w:basedOn w:val="a"/>
    <w:link w:val="aa"/>
    <w:rsid w:val="00850C01"/>
    <w:pPr>
      <w:bidi w:val="0"/>
    </w:pPr>
    <w:rPr>
      <w:lang w:eastAsia="he-IL"/>
    </w:rPr>
  </w:style>
  <w:style w:type="character" w:styleId="ab">
    <w:name w:val="endnote reference"/>
    <w:semiHidden/>
    <w:rsid w:val="00850C01"/>
    <w:rPr>
      <w:rFonts w:ascii="Times New Roman" w:hAnsi="Times New Roman" w:cs="Times New Roman"/>
      <w:vertAlign w:val="superscript"/>
    </w:rPr>
  </w:style>
  <w:style w:type="paragraph" w:customStyle="1" w:styleId="ac">
    <w:name w:val="א שוליים תו"/>
    <w:basedOn w:val="a7"/>
    <w:link w:val="ad"/>
    <w:rsid w:val="00F427B8"/>
    <w:pPr>
      <w:spacing w:line="240" w:lineRule="auto"/>
    </w:pPr>
    <w:rPr>
      <w:sz w:val="24"/>
      <w:szCs w:val="24"/>
      <w:lang w:eastAsia="en-US"/>
    </w:rPr>
  </w:style>
  <w:style w:type="paragraph" w:customStyle="1" w:styleId="10">
    <w:name w:val="א כותרת 1"/>
    <w:basedOn w:val="1"/>
    <w:link w:val="11"/>
    <w:rsid w:val="00F427B8"/>
    <w:pPr>
      <w:jc w:val="center"/>
    </w:pPr>
    <w:rPr>
      <w:rFonts w:cs="Narkisim"/>
      <w:szCs w:val="40"/>
    </w:rPr>
  </w:style>
  <w:style w:type="paragraph" w:customStyle="1" w:styleId="ae">
    <w:name w:val="א טקסט תו"/>
    <w:basedOn w:val="a"/>
    <w:link w:val="af"/>
    <w:rsid w:val="00F427B8"/>
    <w:pPr>
      <w:jc w:val="both"/>
    </w:pPr>
    <w:rPr>
      <w:rFonts w:cs="FrankRuehl"/>
      <w:sz w:val="28"/>
      <w:szCs w:val="32"/>
    </w:rPr>
  </w:style>
  <w:style w:type="paragraph" w:customStyle="1" w:styleId="af0">
    <w:name w:val="א ציטוט תו"/>
    <w:basedOn w:val="a"/>
    <w:link w:val="af1"/>
    <w:rsid w:val="00F427B8"/>
    <w:pPr>
      <w:ind w:left="340"/>
      <w:jc w:val="both"/>
    </w:pPr>
    <w:rPr>
      <w:rFonts w:cs="FrankRuehl"/>
      <w:sz w:val="32"/>
      <w:szCs w:val="32"/>
    </w:rPr>
  </w:style>
  <w:style w:type="paragraph" w:customStyle="1" w:styleId="21">
    <w:name w:val="א כותרת 2"/>
    <w:basedOn w:val="a"/>
    <w:link w:val="22"/>
    <w:rsid w:val="00F427B8"/>
    <w:pPr>
      <w:keepNext/>
      <w:spacing w:before="240" w:after="60"/>
      <w:outlineLvl w:val="1"/>
    </w:pPr>
    <w:rPr>
      <w:rFonts w:cs="Narkisim"/>
      <w:b/>
      <w:bCs/>
      <w:i/>
      <w:iCs/>
      <w:sz w:val="32"/>
      <w:szCs w:val="32"/>
    </w:rPr>
  </w:style>
  <w:style w:type="character" w:styleId="af2">
    <w:name w:val="page number"/>
    <w:basedOn w:val="a0"/>
    <w:rsid w:val="00F427B8"/>
  </w:style>
  <w:style w:type="character" w:customStyle="1" w:styleId="ad">
    <w:name w:val="א שוליים תו תו"/>
    <w:link w:val="ac"/>
    <w:rsid w:val="00F427B8"/>
    <w:rPr>
      <w:sz w:val="24"/>
      <w:szCs w:val="24"/>
      <w:lang w:val="en-US" w:eastAsia="en-US" w:bidi="he-IL"/>
    </w:rPr>
  </w:style>
  <w:style w:type="paragraph" w:styleId="af3">
    <w:name w:val="Balloon Text"/>
    <w:basedOn w:val="a"/>
    <w:semiHidden/>
    <w:rsid w:val="00875E61"/>
    <w:rPr>
      <w:rFonts w:ascii="Tahoma" w:hAnsi="Tahoma" w:cs="Tahoma"/>
      <w:sz w:val="16"/>
      <w:szCs w:val="16"/>
    </w:rPr>
  </w:style>
  <w:style w:type="character" w:customStyle="1" w:styleId="af1">
    <w:name w:val="א ציטוט תו תו"/>
    <w:link w:val="af0"/>
    <w:rsid w:val="00AF0E4E"/>
    <w:rPr>
      <w:rFonts w:cs="FrankRuehl"/>
      <w:sz w:val="32"/>
      <w:szCs w:val="32"/>
      <w:lang w:val="en-US" w:eastAsia="en-US" w:bidi="he-IL"/>
    </w:rPr>
  </w:style>
  <w:style w:type="paragraph" w:customStyle="1" w:styleId="23">
    <w:name w:val="2"/>
    <w:basedOn w:val="a"/>
    <w:next w:val="24"/>
    <w:rsid w:val="008E146F"/>
    <w:pPr>
      <w:ind w:left="459"/>
      <w:jc w:val="both"/>
    </w:pPr>
    <w:rPr>
      <w:rFonts w:cs="David"/>
    </w:rPr>
  </w:style>
  <w:style w:type="paragraph" w:styleId="24">
    <w:name w:val="Body Text Indent 2"/>
    <w:basedOn w:val="a"/>
    <w:rsid w:val="008E146F"/>
    <w:pPr>
      <w:spacing w:after="120" w:line="480" w:lineRule="auto"/>
      <w:ind w:left="283"/>
    </w:pPr>
  </w:style>
  <w:style w:type="paragraph" w:customStyle="1" w:styleId="12">
    <w:name w:val="א  כותרת 1"/>
    <w:basedOn w:val="1"/>
    <w:rsid w:val="003B3767"/>
    <w:pPr>
      <w:jc w:val="center"/>
    </w:pPr>
  </w:style>
  <w:style w:type="paragraph" w:customStyle="1" w:styleId="af4">
    <w:name w:val="א שוליים"/>
    <w:basedOn w:val="a7"/>
    <w:rsid w:val="00BE6D71"/>
    <w:pPr>
      <w:spacing w:line="240" w:lineRule="auto"/>
    </w:pPr>
    <w:rPr>
      <w:lang w:eastAsia="en-US"/>
    </w:rPr>
  </w:style>
  <w:style w:type="paragraph" w:customStyle="1" w:styleId="af5">
    <w:name w:val="א ציטוט"/>
    <w:basedOn w:val="a"/>
    <w:rsid w:val="00BE6D71"/>
    <w:pPr>
      <w:ind w:left="340"/>
      <w:jc w:val="both"/>
    </w:pPr>
    <w:rPr>
      <w:rFonts w:cs="FrankRuehl"/>
      <w:sz w:val="32"/>
      <w:szCs w:val="32"/>
    </w:rPr>
  </w:style>
  <w:style w:type="character" w:customStyle="1" w:styleId="af">
    <w:name w:val="א טקסט תו תו"/>
    <w:link w:val="ae"/>
    <w:rsid w:val="00BE6D71"/>
    <w:rPr>
      <w:rFonts w:cs="FrankRuehl"/>
      <w:sz w:val="28"/>
      <w:szCs w:val="32"/>
      <w:lang w:val="en-US" w:eastAsia="en-US" w:bidi="he-IL"/>
    </w:rPr>
  </w:style>
  <w:style w:type="paragraph" w:customStyle="1" w:styleId="Heading51">
    <w:name w:val="Heading 51"/>
    <w:basedOn w:val="a"/>
    <w:next w:val="a"/>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af6">
    <w:name w:val="Body Text"/>
    <w:basedOn w:val="a"/>
    <w:rsid w:val="00435CDB"/>
    <w:pPr>
      <w:spacing w:after="120"/>
    </w:pPr>
  </w:style>
  <w:style w:type="paragraph" w:customStyle="1" w:styleId="af7">
    <w:name w:val="א טקסט"/>
    <w:basedOn w:val="a"/>
    <w:rsid w:val="00F23290"/>
    <w:pPr>
      <w:jc w:val="both"/>
    </w:pPr>
    <w:rPr>
      <w:rFonts w:cs="FrankRuehl"/>
      <w:sz w:val="28"/>
      <w:szCs w:val="32"/>
    </w:rPr>
  </w:style>
  <w:style w:type="character" w:customStyle="1" w:styleId="11">
    <w:name w:val="א כותרת 1 תו"/>
    <w:link w:val="10"/>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2">
    <w:name w:val="א כותרת 2 תו"/>
    <w:link w:val="21"/>
    <w:rsid w:val="003670F2"/>
    <w:rPr>
      <w:rFonts w:ascii="Arial" w:hAnsi="Arial" w:cs="Narkisim"/>
      <w:b/>
      <w:bCs/>
      <w:i/>
      <w:iCs/>
      <w:sz w:val="32"/>
      <w:szCs w:val="32"/>
      <w:lang w:val="en-US" w:eastAsia="en-US" w:bidi="he-IL"/>
    </w:rPr>
  </w:style>
  <w:style w:type="paragraph" w:styleId="25">
    <w:name w:val="Body Text 2"/>
    <w:basedOn w:val="a"/>
    <w:rsid w:val="00FD2089"/>
    <w:pPr>
      <w:spacing w:after="120" w:line="480" w:lineRule="auto"/>
    </w:pPr>
  </w:style>
  <w:style w:type="paragraph" w:styleId="af8">
    <w:name w:val="Block Text"/>
    <w:basedOn w:val="a"/>
    <w:rsid w:val="00A1508C"/>
    <w:pPr>
      <w:spacing w:line="360" w:lineRule="auto"/>
      <w:ind w:left="141"/>
    </w:pPr>
    <w:rPr>
      <w:rFonts w:cs="David"/>
      <w:noProof/>
      <w:szCs w:val="22"/>
      <w:lang w:eastAsia="he-IL"/>
    </w:rPr>
  </w:style>
  <w:style w:type="paragraph" w:styleId="30">
    <w:name w:val="Body Text 3"/>
    <w:basedOn w:val="a"/>
    <w:rsid w:val="00A1508C"/>
    <w:pPr>
      <w:jc w:val="both"/>
    </w:pPr>
    <w:rPr>
      <w:rFonts w:cs="David"/>
      <w:noProof/>
      <w:sz w:val="23"/>
      <w:szCs w:val="23"/>
      <w:lang w:eastAsia="he-IL"/>
    </w:rPr>
  </w:style>
  <w:style w:type="paragraph" w:customStyle="1" w:styleId="af9">
    <w:name w:val="הסבר"/>
    <w:basedOn w:val="a"/>
    <w:rsid w:val="00A1508C"/>
    <w:pPr>
      <w:spacing w:after="120" w:line="300" w:lineRule="exact"/>
      <w:ind w:left="748"/>
      <w:jc w:val="both"/>
    </w:pPr>
    <w:rPr>
      <w:sz w:val="22"/>
      <w:szCs w:val="22"/>
      <w:lang w:eastAsia="he-IL"/>
    </w:rPr>
  </w:style>
  <w:style w:type="paragraph" w:customStyle="1" w:styleId="Blockquote">
    <w:name w:val="Blockquote"/>
    <w:basedOn w:val="a"/>
    <w:rsid w:val="00A1508C"/>
    <w:pPr>
      <w:bidi w:val="0"/>
      <w:snapToGrid w:val="0"/>
      <w:spacing w:before="100" w:after="100"/>
      <w:ind w:left="360" w:right="360"/>
    </w:pPr>
    <w:rPr>
      <w:rFonts w:cs="Miriam"/>
      <w:lang w:eastAsia="he-IL"/>
    </w:rPr>
  </w:style>
  <w:style w:type="paragraph" w:customStyle="1" w:styleId="BodyText21">
    <w:name w:val="Body Text 21"/>
    <w:basedOn w:val="a"/>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3">
    <w:name w:val="א1 הערת שוליים תו"/>
    <w:link w:val="14"/>
    <w:rsid w:val="00131D6D"/>
    <w:rPr>
      <w:rFonts w:ascii="Arial" w:hAnsi="Arial" w:cs="Arial"/>
      <w:lang w:val="en-US" w:eastAsia="en-US" w:bidi="he-IL"/>
    </w:rPr>
  </w:style>
  <w:style w:type="paragraph" w:customStyle="1" w:styleId="15">
    <w:name w:val="א1 כותרת ראשית"/>
    <w:basedOn w:val="a"/>
    <w:rsid w:val="00131D6D"/>
    <w:pPr>
      <w:spacing w:line="360" w:lineRule="auto"/>
      <w:jc w:val="center"/>
    </w:pPr>
    <w:rPr>
      <w:b/>
      <w:bCs/>
      <w:color w:val="0000FF"/>
      <w:szCs w:val="40"/>
    </w:rPr>
  </w:style>
  <w:style w:type="paragraph" w:customStyle="1" w:styleId="16">
    <w:name w:val="א1 טקסט"/>
    <w:basedOn w:val="a"/>
    <w:link w:val="17"/>
    <w:autoRedefine/>
    <w:rsid w:val="00181D28"/>
    <w:pPr>
      <w:spacing w:line="360" w:lineRule="auto"/>
      <w:jc w:val="both"/>
    </w:pPr>
    <w:rPr>
      <w:rFonts w:cs="David"/>
    </w:rPr>
  </w:style>
  <w:style w:type="paragraph" w:customStyle="1" w:styleId="18">
    <w:name w:val="א1 כותרת משנה"/>
    <w:basedOn w:val="a"/>
    <w:link w:val="19"/>
    <w:rsid w:val="00131D6D"/>
    <w:pPr>
      <w:spacing w:line="360" w:lineRule="auto"/>
    </w:pPr>
    <w:rPr>
      <w:b/>
      <w:bCs/>
      <w:sz w:val="26"/>
      <w:szCs w:val="26"/>
    </w:rPr>
  </w:style>
  <w:style w:type="paragraph" w:customStyle="1" w:styleId="1a">
    <w:name w:val="א1 ציטוט מקור"/>
    <w:basedOn w:val="a"/>
    <w:link w:val="1b"/>
    <w:autoRedefine/>
    <w:rsid w:val="0089097B"/>
    <w:pPr>
      <w:ind w:left="360"/>
      <w:jc w:val="both"/>
    </w:pPr>
    <w:rPr>
      <w:rFonts w:cs="David"/>
    </w:rPr>
  </w:style>
  <w:style w:type="paragraph" w:customStyle="1" w:styleId="14">
    <w:name w:val="א1 הערת שוליים"/>
    <w:basedOn w:val="a7"/>
    <w:link w:val="13"/>
    <w:rsid w:val="00131D6D"/>
    <w:pPr>
      <w:jc w:val="both"/>
    </w:pPr>
    <w:rPr>
      <w:lang w:eastAsia="en-US"/>
    </w:rPr>
  </w:style>
  <w:style w:type="paragraph" w:customStyle="1" w:styleId="1c">
    <w:name w:val="סגנון א1 ציטוט מקור + מיושר לשני הצדדים"/>
    <w:basedOn w:val="1a"/>
    <w:rsid w:val="00131D6D"/>
  </w:style>
  <w:style w:type="character" w:customStyle="1" w:styleId="17">
    <w:name w:val="א1 טקסט תו"/>
    <w:link w:val="16"/>
    <w:rsid w:val="00181D28"/>
    <w:rPr>
      <w:rFonts w:ascii="Arial" w:hAnsi="Arial" w:cs="David"/>
      <w:sz w:val="24"/>
      <w:szCs w:val="24"/>
      <w:lang w:val="en-US" w:eastAsia="en-US" w:bidi="he-IL"/>
    </w:rPr>
  </w:style>
  <w:style w:type="paragraph" w:styleId="NormalWeb">
    <w:name w:val="Normal (Web)"/>
    <w:basedOn w:val="a"/>
    <w:rsid w:val="009F55F5"/>
    <w:pPr>
      <w:bidi w:val="0"/>
      <w:spacing w:before="100" w:beforeAutospacing="1" w:after="100" w:afterAutospacing="1"/>
    </w:pPr>
  </w:style>
  <w:style w:type="character" w:customStyle="1" w:styleId="1b">
    <w:name w:val="א1 ציטוט מקור תו"/>
    <w:link w:val="1a"/>
    <w:rsid w:val="0089097B"/>
    <w:rPr>
      <w:rFonts w:cs="David"/>
      <w:sz w:val="24"/>
      <w:szCs w:val="24"/>
      <w:lang w:val="en-US" w:eastAsia="en-US" w:bidi="he-IL"/>
    </w:rPr>
  </w:style>
  <w:style w:type="character" w:styleId="afa">
    <w:name w:val="annotation reference"/>
    <w:semiHidden/>
    <w:rsid w:val="00453176"/>
    <w:rPr>
      <w:sz w:val="16"/>
      <w:szCs w:val="16"/>
    </w:rPr>
  </w:style>
  <w:style w:type="paragraph" w:styleId="afb">
    <w:name w:val="annotation text"/>
    <w:basedOn w:val="a"/>
    <w:semiHidden/>
    <w:rsid w:val="00453176"/>
  </w:style>
  <w:style w:type="paragraph" w:styleId="afc">
    <w:name w:val="annotation subject"/>
    <w:basedOn w:val="afb"/>
    <w:next w:val="afb"/>
    <w:semiHidden/>
    <w:rsid w:val="00453176"/>
    <w:rPr>
      <w:b/>
      <w:bCs/>
    </w:rPr>
  </w:style>
  <w:style w:type="paragraph" w:customStyle="1" w:styleId="1d">
    <w:name w:val="א1 ק טקסט"/>
    <w:basedOn w:val="a"/>
    <w:link w:val="1e"/>
    <w:autoRedefine/>
    <w:rsid w:val="006911B0"/>
    <w:pPr>
      <w:jc w:val="both"/>
    </w:pPr>
    <w:rPr>
      <w:rFonts w:cs="David"/>
      <w:color w:val="000000"/>
    </w:rPr>
  </w:style>
  <w:style w:type="character" w:customStyle="1" w:styleId="1e">
    <w:name w:val="א1 ק טקסט תו תו"/>
    <w:link w:val="1d"/>
    <w:rsid w:val="006911B0"/>
    <w:rPr>
      <w:rFonts w:ascii="Arial" w:hAnsi="Arial" w:cs="David"/>
      <w:color w:val="000000"/>
      <w:sz w:val="24"/>
      <w:szCs w:val="24"/>
      <w:lang w:val="en-US" w:eastAsia="en-US" w:bidi="he-IL"/>
    </w:rPr>
  </w:style>
  <w:style w:type="character" w:customStyle="1" w:styleId="19">
    <w:name w:val="א1 כותרת משנה תו"/>
    <w:link w:val="18"/>
    <w:rsid w:val="001C0862"/>
    <w:rPr>
      <w:rFonts w:ascii="Arial" w:hAnsi="Arial" w:cs="Arial"/>
      <w:b/>
      <w:bCs/>
      <w:sz w:val="26"/>
      <w:szCs w:val="26"/>
      <w:lang w:val="en-US" w:eastAsia="en-US" w:bidi="he-IL"/>
    </w:rPr>
  </w:style>
  <w:style w:type="paragraph" w:customStyle="1" w:styleId="1f">
    <w:name w:val="1"/>
    <w:basedOn w:val="a"/>
    <w:rsid w:val="0057388A"/>
    <w:pPr>
      <w:keepNext/>
      <w:spacing w:before="240" w:after="60" w:line="360" w:lineRule="auto"/>
      <w:jc w:val="center"/>
    </w:pPr>
    <w:rPr>
      <w:b/>
      <w:bCs/>
      <w:sz w:val="32"/>
      <w:szCs w:val="32"/>
    </w:rPr>
  </w:style>
  <w:style w:type="paragraph" w:customStyle="1" w:styleId="100">
    <w:name w:val="10"/>
    <w:basedOn w:val="a"/>
    <w:rsid w:val="0057388A"/>
    <w:pPr>
      <w:spacing w:line="360" w:lineRule="auto"/>
      <w:jc w:val="both"/>
    </w:pPr>
  </w:style>
  <w:style w:type="paragraph" w:customStyle="1" w:styleId="110">
    <w:name w:val="11"/>
    <w:basedOn w:val="a"/>
    <w:rsid w:val="0057388A"/>
    <w:pPr>
      <w:spacing w:line="360" w:lineRule="auto"/>
      <w:jc w:val="both"/>
    </w:pPr>
    <w:rPr>
      <w:sz w:val="22"/>
      <w:szCs w:val="22"/>
    </w:rPr>
  </w:style>
  <w:style w:type="paragraph" w:customStyle="1" w:styleId="120">
    <w:name w:val="12"/>
    <w:basedOn w:val="a"/>
    <w:rsid w:val="0057388A"/>
    <w:pPr>
      <w:spacing w:line="360" w:lineRule="auto"/>
    </w:pPr>
    <w:rPr>
      <w:b/>
      <w:bCs/>
      <w:sz w:val="26"/>
      <w:szCs w:val="26"/>
    </w:rPr>
  </w:style>
  <w:style w:type="paragraph" w:customStyle="1" w:styleId="130">
    <w:name w:val="13"/>
    <w:basedOn w:val="a"/>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8"/>
    <w:autoRedefine/>
    <w:rsid w:val="00A64951"/>
    <w:pPr>
      <w:spacing w:line="240" w:lineRule="auto"/>
    </w:pPr>
    <w:rPr>
      <w:rFonts w:cs="David"/>
      <w:i/>
      <w:iCs/>
      <w:sz w:val="28"/>
      <w:szCs w:val="28"/>
      <w:lang w:eastAsia="he-IL"/>
    </w:rPr>
  </w:style>
  <w:style w:type="paragraph" w:customStyle="1" w:styleId="1f0">
    <w:name w:val="ציטוט1"/>
    <w:basedOn w:val="a"/>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aa">
    <w:name w:val="טקסט הערת סיום תו"/>
    <w:link w:val="a9"/>
    <w:rsid w:val="00AE7E33"/>
    <w:rPr>
      <w:lang w:val="en-US" w:eastAsia="he-IL" w:bidi="he-IL"/>
    </w:rPr>
  </w:style>
  <w:style w:type="paragraph" w:customStyle="1" w:styleId="1f1">
    <w:name w:val="פיסקת רשימה1"/>
    <w:basedOn w:val="a"/>
    <w:link w:val="ListParagraph"/>
    <w:qFormat/>
    <w:rsid w:val="00100DEB"/>
    <w:pPr>
      <w:spacing w:after="200" w:line="276" w:lineRule="auto"/>
      <w:ind w:left="720"/>
      <w:contextualSpacing/>
    </w:pPr>
    <w:rPr>
      <w:rFonts w:ascii="Calibri" w:hAnsi="Calibri"/>
      <w:sz w:val="22"/>
      <w:szCs w:val="22"/>
    </w:rPr>
  </w:style>
  <w:style w:type="character" w:customStyle="1" w:styleId="afd">
    <w:name w:val="הדגשה מעודנת"/>
    <w:qFormat/>
    <w:rsid w:val="00100DEB"/>
    <w:rPr>
      <w:i/>
      <w:iCs/>
      <w:color w:val="808080"/>
    </w:rPr>
  </w:style>
  <w:style w:type="character" w:styleId="afe">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a0"/>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a0"/>
    <w:rsid w:val="0011609D"/>
  </w:style>
  <w:style w:type="character" w:customStyle="1" w:styleId="20">
    <w:name w:val="כותרת 2 תו"/>
    <w:link w:val="2"/>
    <w:rsid w:val="005E249F"/>
    <w:rPr>
      <w:rFonts w:ascii="Arial" w:hAnsi="Arial" w:cs="Arial"/>
      <w:b/>
      <w:bCs/>
      <w:i/>
      <w:iCs/>
      <w:sz w:val="28"/>
      <w:szCs w:val="28"/>
    </w:rPr>
  </w:style>
  <w:style w:type="character" w:styleId="aff">
    <w:name w:val="Emphasis"/>
    <w:uiPriority w:val="20"/>
    <w:qFormat/>
    <w:rsid w:val="003420BB"/>
    <w:rPr>
      <w:i/>
      <w:iCs/>
    </w:rPr>
  </w:style>
  <w:style w:type="paragraph" w:customStyle="1" w:styleId="m-2436609287280606421msonospacing">
    <w:name w:val="m_-2436609287280606421msonospacing"/>
    <w:basedOn w:val="a"/>
    <w:rsid w:val="00D83E2F"/>
    <w:pPr>
      <w:bidi w:val="0"/>
      <w:spacing w:before="100" w:beforeAutospacing="1" w:after="100" w:afterAutospacing="1"/>
    </w:pPr>
    <w:rPr>
      <w:rFonts w:ascii="Times New Roman" w:hAnsi="Times New Roman" w:cs="Times New Roman"/>
      <w:sz w:val="24"/>
      <w:szCs w:val="24"/>
    </w:rPr>
  </w:style>
  <w:style w:type="paragraph" w:styleId="aff0">
    <w:name w:val="Plain Text"/>
    <w:basedOn w:val="a"/>
    <w:link w:val="aff1"/>
    <w:uiPriority w:val="99"/>
    <w:unhideWhenUsed/>
    <w:rsid w:val="005D79D9"/>
    <w:pPr>
      <w:bidi w:val="0"/>
    </w:pPr>
    <w:rPr>
      <w:rFonts w:ascii="Calibri" w:eastAsia="Calibri" w:hAnsi="Calibri" w:cs="Times New Roman"/>
      <w:sz w:val="22"/>
      <w:szCs w:val="22"/>
    </w:rPr>
  </w:style>
  <w:style w:type="character" w:customStyle="1" w:styleId="aff1">
    <w:name w:val="טקסט רגיל תו"/>
    <w:link w:val="aff0"/>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a"/>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1"/>
    <w:rsid w:val="001443B6"/>
    <w:rPr>
      <w:rFonts w:ascii="Calibri" w:hAnsi="Calibri"/>
      <w:sz w:val="22"/>
      <w:szCs w:val="22"/>
    </w:rPr>
  </w:style>
  <w:style w:type="paragraph" w:customStyle="1" w:styleId="segmenttext">
    <w:name w:val="segmenttext"/>
    <w:basedOn w:val="a"/>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a"/>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2881</Words>
  <Characters>14282</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17129</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rachel</cp:lastModifiedBy>
  <cp:revision>8</cp:revision>
  <cp:lastPrinted>2026-01-06T15:25:00Z</cp:lastPrinted>
  <dcterms:created xsi:type="dcterms:W3CDTF">2026-01-06T13:47:00Z</dcterms:created>
  <dcterms:modified xsi:type="dcterms:W3CDTF">2026-01-27T13:48:00Z</dcterms:modified>
</cp:coreProperties>
</file>