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7B14FC16"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BB031C">
              <w:rPr>
                <w:b/>
                <w:bCs/>
                <w:color w:val="D85640"/>
                <w:sz w:val="24"/>
                <w:szCs w:val="24"/>
              </w:rPr>
              <w:t>Pinchas</w:t>
            </w:r>
            <w:proofErr w:type="spellEnd"/>
            <w:r w:rsidR="00563D69" w:rsidRPr="00BC2414">
              <w:rPr>
                <w:b/>
                <w:bCs/>
                <w:color w:val="D85640"/>
                <w:sz w:val="24"/>
                <w:szCs w:val="24"/>
              </w:rPr>
              <w:t>,</w:t>
            </w:r>
            <w:r w:rsidR="00DB429E" w:rsidRPr="00BC2414">
              <w:rPr>
                <w:b/>
                <w:bCs/>
                <w:color w:val="D85640"/>
                <w:sz w:val="24"/>
                <w:szCs w:val="24"/>
              </w:rPr>
              <w:t xml:space="preserve"> </w:t>
            </w:r>
            <w:r w:rsidR="003F3E77">
              <w:rPr>
                <w:b/>
                <w:bCs/>
                <w:color w:val="D85640"/>
                <w:sz w:val="24"/>
                <w:szCs w:val="24"/>
              </w:rPr>
              <w:t xml:space="preserve">Tamuz </w:t>
            </w:r>
            <w:r w:rsidR="00650CBD">
              <w:rPr>
                <w:b/>
                <w:bCs/>
                <w:color w:val="D85640"/>
                <w:sz w:val="24"/>
                <w:szCs w:val="24"/>
              </w:rPr>
              <w:t>1</w:t>
            </w:r>
            <w:r w:rsidR="00BB031C">
              <w:rPr>
                <w:b/>
                <w:bCs/>
                <w:color w:val="D85640"/>
                <w:sz w:val="24"/>
                <w:szCs w:val="24"/>
              </w:rPr>
              <w:t>9</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5493F581" w14:textId="77777777" w:rsidR="00A2122D" w:rsidRDefault="00A2122D" w:rsidP="00A2122D">
            <w:pPr>
              <w:jc w:val="center"/>
              <w:rPr>
                <w:color w:val="002060"/>
              </w:rPr>
            </w:pPr>
            <w:r>
              <w:rPr>
                <w:b/>
                <w:bCs/>
                <w:color w:val="002060"/>
                <w:sz w:val="28"/>
                <w:szCs w:val="28"/>
              </w:rPr>
              <w:t xml:space="preserve">The Blessing of Children, </w:t>
            </w:r>
            <w:proofErr w:type="gramStart"/>
            <w:r>
              <w:rPr>
                <w:b/>
                <w:bCs/>
                <w:color w:val="002060"/>
                <w:sz w:val="28"/>
                <w:szCs w:val="28"/>
              </w:rPr>
              <w:t>Specifically</w:t>
            </w:r>
            <w:proofErr w:type="gramEnd"/>
            <w:r>
              <w:rPr>
                <w:b/>
                <w:bCs/>
                <w:color w:val="002060"/>
                <w:sz w:val="28"/>
                <w:szCs w:val="28"/>
              </w:rPr>
              <w:t xml:space="preserve"> for Menashe – part I </w:t>
            </w:r>
          </w:p>
          <w:p w14:paraId="35109E43" w14:textId="06995464" w:rsidR="00C33C5A" w:rsidRPr="002A65C7" w:rsidRDefault="00650CBD" w:rsidP="00650CBD">
            <w:pPr>
              <w:bidi w:val="0"/>
              <w:jc w:val="center"/>
              <w:rPr>
                <w:color w:val="002060"/>
              </w:rPr>
            </w:pPr>
            <w:proofErr w:type="spellStart"/>
            <w:r w:rsidRPr="001834E1">
              <w:rPr>
                <w:color w:val="002060"/>
              </w:rPr>
              <w:t>Harav</w:t>
            </w:r>
            <w:proofErr w:type="spellEnd"/>
            <w:r w:rsidRPr="001834E1">
              <w:rPr>
                <w:color w:val="002060"/>
              </w:rPr>
              <w:t xml:space="preserve"> Yosef Carmel</w:t>
            </w: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DB7EE83" w14:textId="77777777" w:rsidR="00A2122D" w:rsidRPr="006F0D2A" w:rsidRDefault="00A2122D" w:rsidP="00A2122D">
      <w:pPr>
        <w:bidi w:val="0"/>
        <w:ind w:firstLine="426"/>
      </w:pPr>
      <w:r w:rsidRPr="006F0D2A">
        <w:t xml:space="preserve">The </w:t>
      </w:r>
      <w:proofErr w:type="spellStart"/>
      <w:r>
        <w:t>countings</w:t>
      </w:r>
      <w:proofErr w:type="spellEnd"/>
      <w:r>
        <w:t xml:space="preserve"> </w:t>
      </w:r>
      <w:r w:rsidRPr="006F0D2A">
        <w:t xml:space="preserve">in </w:t>
      </w:r>
      <w:r>
        <w:t>the “</w:t>
      </w:r>
      <w:r w:rsidRPr="009F0727">
        <w:t>Book of Numbers</w:t>
      </w:r>
      <w:r>
        <w:t>”</w:t>
      </w:r>
      <w:r>
        <w:rPr>
          <w:i/>
          <w:iCs/>
        </w:rPr>
        <w:t xml:space="preserve"> </w:t>
      </w:r>
      <w:r w:rsidRPr="006F0D2A">
        <w:t xml:space="preserve">and their discrepancies have long engaged our </w:t>
      </w:r>
      <w:r w:rsidRPr="009F0727">
        <w:t>rabbis</w:t>
      </w:r>
      <w:r w:rsidRPr="006F0D2A">
        <w:t xml:space="preserve">. On one hand, the final tallies in </w:t>
      </w:r>
      <w:proofErr w:type="spellStart"/>
      <w:r w:rsidRPr="006F0D2A">
        <w:rPr>
          <w:i/>
          <w:iCs/>
        </w:rPr>
        <w:t>Bamidbar</w:t>
      </w:r>
      <w:proofErr w:type="spellEnd"/>
      <w:r w:rsidRPr="006F0D2A">
        <w:t xml:space="preserve"> and </w:t>
      </w:r>
      <w:proofErr w:type="spellStart"/>
      <w:r w:rsidRPr="006F0D2A">
        <w:rPr>
          <w:i/>
          <w:iCs/>
        </w:rPr>
        <w:t>Pinchas</w:t>
      </w:r>
      <w:proofErr w:type="spellEnd"/>
      <w:r w:rsidRPr="006F0D2A">
        <w:t xml:space="preserve"> are nearly identical. On the other hand, we find dramatic shifts within specific </w:t>
      </w:r>
      <w:r>
        <w:t>tribes</w:t>
      </w:r>
      <w:r w:rsidRPr="006F0D2A">
        <w:t xml:space="preserve">, particularly </w:t>
      </w:r>
      <w:r>
        <w:t>Menashe</w:t>
      </w:r>
      <w:r w:rsidRPr="006F0D2A">
        <w:t xml:space="preserve">. </w:t>
      </w:r>
    </w:p>
    <w:p w14:paraId="0445DE2D" w14:textId="77777777" w:rsidR="00A2122D" w:rsidRPr="00752FFC" w:rsidRDefault="00A2122D" w:rsidP="00A2122D">
      <w:pPr>
        <w:bidi w:val="0"/>
        <w:ind w:firstLine="426"/>
      </w:pPr>
      <w:r w:rsidRPr="006F0D2A">
        <w:t xml:space="preserve">In </w:t>
      </w:r>
      <w:proofErr w:type="spellStart"/>
      <w:r w:rsidRPr="006F0D2A">
        <w:rPr>
          <w:i/>
          <w:iCs/>
        </w:rPr>
        <w:t>Par</w:t>
      </w:r>
      <w:r>
        <w:rPr>
          <w:i/>
          <w:iCs/>
        </w:rPr>
        <w:t>a</w:t>
      </w:r>
      <w:r w:rsidRPr="006F0D2A">
        <w:rPr>
          <w:i/>
          <w:iCs/>
        </w:rPr>
        <w:t>sha</w:t>
      </w:r>
      <w:r>
        <w:rPr>
          <w:i/>
          <w:iCs/>
        </w:rPr>
        <w:t>t</w:t>
      </w:r>
      <w:proofErr w:type="spellEnd"/>
      <w:r w:rsidRPr="006F0D2A">
        <w:rPr>
          <w:i/>
          <w:iCs/>
        </w:rPr>
        <w:t xml:space="preserve"> </w:t>
      </w:r>
      <w:proofErr w:type="spellStart"/>
      <w:r w:rsidRPr="006F0D2A">
        <w:rPr>
          <w:i/>
          <w:iCs/>
        </w:rPr>
        <w:t>Bamidbar</w:t>
      </w:r>
      <w:proofErr w:type="spellEnd"/>
      <w:r w:rsidRPr="006F0D2A">
        <w:t xml:space="preserve">, Menashe numbers </w:t>
      </w:r>
      <w:r w:rsidRPr="006F0D2A">
        <w:rPr>
          <w:b/>
          <w:bCs/>
        </w:rPr>
        <w:t>32,200</w:t>
      </w:r>
      <w:r w:rsidRPr="006F0D2A">
        <w:t xml:space="preserve">. Yet in </w:t>
      </w:r>
      <w:proofErr w:type="spellStart"/>
      <w:r w:rsidRPr="006F0D2A">
        <w:rPr>
          <w:i/>
          <w:iCs/>
        </w:rPr>
        <w:t>Par</w:t>
      </w:r>
      <w:r>
        <w:rPr>
          <w:i/>
          <w:iCs/>
        </w:rPr>
        <w:t>a</w:t>
      </w:r>
      <w:r w:rsidRPr="006F0D2A">
        <w:rPr>
          <w:i/>
          <w:iCs/>
        </w:rPr>
        <w:t>sha</w:t>
      </w:r>
      <w:r>
        <w:rPr>
          <w:i/>
          <w:iCs/>
        </w:rPr>
        <w:t>t</w:t>
      </w:r>
      <w:proofErr w:type="spellEnd"/>
      <w:r w:rsidRPr="006F0D2A">
        <w:rPr>
          <w:i/>
          <w:iCs/>
        </w:rPr>
        <w:t xml:space="preserve"> </w:t>
      </w:r>
      <w:proofErr w:type="spellStart"/>
      <w:r w:rsidRPr="006F0D2A">
        <w:rPr>
          <w:i/>
          <w:iCs/>
        </w:rPr>
        <w:t>Pinchas</w:t>
      </w:r>
      <w:proofErr w:type="spellEnd"/>
      <w:r w:rsidRPr="006F0D2A">
        <w:t xml:space="preserve">, they jump </w:t>
      </w:r>
      <w:r>
        <w:t xml:space="preserve">all the way </w:t>
      </w:r>
      <w:r w:rsidRPr="006F0D2A">
        <w:t xml:space="preserve">to </w:t>
      </w:r>
      <w:r w:rsidRPr="006F0D2A">
        <w:rPr>
          <w:b/>
          <w:bCs/>
        </w:rPr>
        <w:t>52,700</w:t>
      </w:r>
      <w:r w:rsidRPr="006F0D2A">
        <w:t xml:space="preserve">. </w:t>
      </w:r>
      <w:r>
        <w:t>T</w:t>
      </w:r>
      <w:r w:rsidRPr="006F0D2A">
        <w:t>he</w:t>
      </w:r>
      <w:r w:rsidRPr="00752FFC">
        <w:t xml:space="preserve"> </w:t>
      </w:r>
      <w:proofErr w:type="spellStart"/>
      <w:r w:rsidRPr="00752FFC">
        <w:t>Ba</w:t>
      </w:r>
      <w:r>
        <w:t>’</w:t>
      </w:r>
      <w:r w:rsidRPr="00752FFC">
        <w:t>al</w:t>
      </w:r>
      <w:proofErr w:type="spellEnd"/>
      <w:r w:rsidRPr="00752FFC">
        <w:t xml:space="preserve"> </w:t>
      </w:r>
      <w:proofErr w:type="spellStart"/>
      <w:r w:rsidRPr="00752FFC">
        <w:t>HaTurim</w:t>
      </w:r>
      <w:proofErr w:type="spellEnd"/>
      <w:r w:rsidRPr="006F0D2A">
        <w:t xml:space="preserve"> notes that this is the fulfillment of what the </w:t>
      </w:r>
      <w:r>
        <w:t xml:space="preserve">Sons of Yosef </w:t>
      </w:r>
      <w:r w:rsidRPr="006F0D2A">
        <w:t>claimed to Yehoshua</w:t>
      </w:r>
      <w:r>
        <w:t xml:space="preserve"> when complaining about insufficient land</w:t>
      </w:r>
      <w:r w:rsidRPr="006F0D2A">
        <w:t xml:space="preserve">: </w:t>
      </w:r>
      <w:r>
        <w:t>“</w:t>
      </w:r>
      <w:r w:rsidRPr="00752FFC">
        <w:t>I am a great people</w:t>
      </w:r>
      <w:r w:rsidRPr="006F0D2A">
        <w:rPr>
          <w:i/>
          <w:iCs/>
        </w:rPr>
        <w:t xml:space="preserve">, </w:t>
      </w:r>
      <w:r w:rsidRPr="00752FFC">
        <w:t>as</w:t>
      </w:r>
      <w:r w:rsidRPr="006F0D2A">
        <w:rPr>
          <w:i/>
          <w:iCs/>
        </w:rPr>
        <w:t xml:space="preserve"> </w:t>
      </w:r>
      <w:r>
        <w:t xml:space="preserve">Hashem has </w:t>
      </w:r>
      <w:r w:rsidRPr="00752FFC">
        <w:t>blessed me</w:t>
      </w:r>
      <w:r>
        <w:t xml:space="preserve"> to </w:t>
      </w:r>
      <w:proofErr w:type="spellStart"/>
      <w:r w:rsidRPr="00315F8B">
        <w:rPr>
          <w:b/>
          <w:bCs/>
          <w:i/>
          <w:iCs/>
        </w:rPr>
        <w:t>koh</w:t>
      </w:r>
      <w:proofErr w:type="spellEnd"/>
      <w:r>
        <w:t xml:space="preserve"> (this point)</w:t>
      </w:r>
      <w:r>
        <w:rPr>
          <w:i/>
          <w:iCs/>
        </w:rPr>
        <w:t>”</w:t>
      </w:r>
      <w:r w:rsidRPr="006F0D2A">
        <w:t xml:space="preserve"> (Yehoshua 17:14)</w:t>
      </w:r>
      <w:r>
        <w:t xml:space="preserve">. The letters of </w:t>
      </w:r>
      <w:proofErr w:type="spellStart"/>
      <w:r>
        <w:rPr>
          <w:i/>
          <w:iCs/>
        </w:rPr>
        <w:t>koh</w:t>
      </w:r>
      <w:proofErr w:type="spellEnd"/>
      <w:r>
        <w:t xml:space="preserve"> having a numerical value of 20 and 5, which can join to make up the exact difference between Menashe’s two counts – </w:t>
      </w:r>
      <w:r w:rsidRPr="00752FFC">
        <w:rPr>
          <w:b/>
          <w:bCs/>
        </w:rPr>
        <w:t>20,500</w:t>
      </w:r>
      <w:r w:rsidRPr="006F0D2A">
        <w:t>.</w:t>
      </w:r>
      <w:r>
        <w:t xml:space="preserve"> The Tur’s source is </w:t>
      </w:r>
      <w:proofErr w:type="spellStart"/>
      <w:r>
        <w:t>Rashi</w:t>
      </w:r>
      <w:proofErr w:type="spellEnd"/>
      <w:r>
        <w:t xml:space="preserve"> on the </w:t>
      </w:r>
      <w:proofErr w:type="spellStart"/>
      <w:r>
        <w:rPr>
          <w:i/>
          <w:iCs/>
        </w:rPr>
        <w:t>pasuk</w:t>
      </w:r>
      <w:proofErr w:type="spellEnd"/>
      <w:r>
        <w:t xml:space="preserve"> in Yehoshua.</w:t>
      </w:r>
    </w:p>
    <w:p w14:paraId="07691BE0" w14:textId="77777777" w:rsidR="00A2122D" w:rsidRPr="006F0D2A" w:rsidRDefault="00A2122D" w:rsidP="00A2122D">
      <w:pPr>
        <w:bidi w:val="0"/>
        <w:ind w:firstLine="426"/>
      </w:pPr>
      <w:r w:rsidRPr="006F0D2A">
        <w:t xml:space="preserve">This </w:t>
      </w:r>
      <w:proofErr w:type="spellStart"/>
      <w:r w:rsidRPr="006F0D2A">
        <w:t>Rashi</w:t>
      </w:r>
      <w:proofErr w:type="spellEnd"/>
      <w:r w:rsidRPr="006F0D2A">
        <w:t xml:space="preserve"> is anchored in the </w:t>
      </w:r>
      <w:r>
        <w:rPr>
          <w:i/>
          <w:iCs/>
        </w:rPr>
        <w:t>m</w:t>
      </w:r>
      <w:r w:rsidRPr="006F0D2A">
        <w:rPr>
          <w:i/>
          <w:iCs/>
        </w:rPr>
        <w:t>idrash</w:t>
      </w:r>
      <w:r w:rsidRPr="006F0D2A">
        <w:t xml:space="preserve"> </w:t>
      </w:r>
      <w:r>
        <w:t>(</w:t>
      </w:r>
      <w:proofErr w:type="spellStart"/>
      <w:r>
        <w:t>Lekach</w:t>
      </w:r>
      <w:proofErr w:type="spellEnd"/>
      <w:r>
        <w:t xml:space="preserve"> Tov) </w:t>
      </w:r>
      <w:r w:rsidRPr="006F0D2A">
        <w:t xml:space="preserve">on Yaakov </w:t>
      </w:r>
      <w:proofErr w:type="spellStart"/>
      <w:r w:rsidRPr="006F0D2A">
        <w:t>Avinu</w:t>
      </w:r>
      <w:r>
        <w:t>’</w:t>
      </w:r>
      <w:r w:rsidRPr="006F0D2A">
        <w:t>s</w:t>
      </w:r>
      <w:proofErr w:type="spellEnd"/>
      <w:r w:rsidRPr="006F0D2A">
        <w:t xml:space="preserve"> </w:t>
      </w:r>
      <w:proofErr w:type="spellStart"/>
      <w:r w:rsidRPr="006F0D2A">
        <w:rPr>
          <w:i/>
          <w:iCs/>
        </w:rPr>
        <w:t>beracha</w:t>
      </w:r>
      <w:proofErr w:type="spellEnd"/>
      <w:r w:rsidRPr="006F0D2A">
        <w:t xml:space="preserve">, </w:t>
      </w:r>
      <w:r>
        <w:rPr>
          <w:i/>
          <w:iCs/>
        </w:rPr>
        <w:t>“</w:t>
      </w:r>
      <w:r w:rsidRPr="006F0D2A">
        <w:rPr>
          <w:i/>
          <w:iCs/>
        </w:rPr>
        <w:t xml:space="preserve">Ben </w:t>
      </w:r>
      <w:proofErr w:type="spellStart"/>
      <w:r w:rsidRPr="006F0D2A">
        <w:rPr>
          <w:i/>
          <w:iCs/>
        </w:rPr>
        <w:t>porat</w:t>
      </w:r>
      <w:proofErr w:type="spellEnd"/>
      <w:r w:rsidRPr="006F0D2A">
        <w:rPr>
          <w:i/>
          <w:iCs/>
        </w:rPr>
        <w:t xml:space="preserve"> Yosef... </w:t>
      </w:r>
      <w:proofErr w:type="spellStart"/>
      <w:r w:rsidRPr="006F0D2A">
        <w:rPr>
          <w:i/>
          <w:iCs/>
        </w:rPr>
        <w:t>alei</w:t>
      </w:r>
      <w:proofErr w:type="spellEnd"/>
      <w:r w:rsidRPr="006F0D2A">
        <w:rPr>
          <w:i/>
          <w:iCs/>
        </w:rPr>
        <w:t xml:space="preserve"> ayin</w:t>
      </w:r>
      <w:r>
        <w:rPr>
          <w:i/>
          <w:iCs/>
        </w:rPr>
        <w:t>”</w:t>
      </w:r>
      <w:r w:rsidRPr="006F0D2A">
        <w:t xml:space="preserve"> (</w:t>
      </w:r>
      <w:proofErr w:type="spellStart"/>
      <w:r w:rsidRPr="006F0D2A">
        <w:t>Bereishis</w:t>
      </w:r>
      <w:proofErr w:type="spellEnd"/>
      <w:r w:rsidRPr="006F0D2A">
        <w:t xml:space="preserve"> 49:22). </w:t>
      </w:r>
      <w:r>
        <w:t xml:space="preserve">The </w:t>
      </w:r>
      <w:r>
        <w:rPr>
          <w:i/>
          <w:iCs/>
        </w:rPr>
        <w:t xml:space="preserve">midrash </w:t>
      </w:r>
      <w:r w:rsidRPr="006F0D2A">
        <w:t>expound</w:t>
      </w:r>
      <w:r>
        <w:t>s</w:t>
      </w:r>
      <w:r w:rsidRPr="006F0D2A">
        <w:t xml:space="preserve"> that </w:t>
      </w:r>
      <w:r>
        <w:t>this means that they will multiply (</w:t>
      </w:r>
      <w:proofErr w:type="spellStart"/>
      <w:r>
        <w:rPr>
          <w:i/>
          <w:iCs/>
        </w:rPr>
        <w:t>poreh</w:t>
      </w:r>
      <w:proofErr w:type="spellEnd"/>
      <w:r>
        <w:t>)</w:t>
      </w:r>
      <w:r>
        <w:rPr>
          <w:i/>
          <w:iCs/>
        </w:rPr>
        <w:t xml:space="preserve"> </w:t>
      </w:r>
      <w:r>
        <w:t xml:space="preserve">like a flowing stream. </w:t>
      </w:r>
      <w:r w:rsidRPr="006F0D2A">
        <w:t xml:space="preserve">Yehoshua told them to hide in the forests to avoid an </w:t>
      </w:r>
      <w:r w:rsidRPr="006F0D2A">
        <w:rPr>
          <w:i/>
          <w:iCs/>
        </w:rPr>
        <w:t>ayin hara</w:t>
      </w:r>
      <w:r w:rsidRPr="006F0D2A">
        <w:t xml:space="preserve">, but they responded that the seed of Yosef is immune to </w:t>
      </w:r>
      <w:r w:rsidRPr="006F0D2A">
        <w:rPr>
          <w:i/>
          <w:iCs/>
        </w:rPr>
        <w:t>ayin hara</w:t>
      </w:r>
      <w:r>
        <w:rPr>
          <w:i/>
          <w:iCs/>
        </w:rPr>
        <w:t xml:space="preserve"> </w:t>
      </w:r>
      <w:r>
        <w:t>(“</w:t>
      </w:r>
      <w:proofErr w:type="spellStart"/>
      <w:r>
        <w:rPr>
          <w:i/>
          <w:iCs/>
        </w:rPr>
        <w:t>alei</w:t>
      </w:r>
      <w:proofErr w:type="spellEnd"/>
      <w:r>
        <w:rPr>
          <w:i/>
          <w:iCs/>
        </w:rPr>
        <w:t xml:space="preserve"> ayin</w:t>
      </w:r>
      <w:r>
        <w:t>”)</w:t>
      </w:r>
      <w:r w:rsidRPr="006F0D2A">
        <w:t xml:space="preserve">. </w:t>
      </w:r>
    </w:p>
    <w:p w14:paraId="665F0457" w14:textId="77777777" w:rsidR="00A2122D" w:rsidRPr="006F0D2A" w:rsidRDefault="00A2122D" w:rsidP="00A2122D">
      <w:pPr>
        <w:bidi w:val="0"/>
        <w:ind w:firstLine="426"/>
      </w:pPr>
      <w:r w:rsidRPr="006F0D2A">
        <w:t xml:space="preserve">We can look further at </w:t>
      </w:r>
      <w:proofErr w:type="spellStart"/>
      <w:r w:rsidRPr="006F0D2A">
        <w:t>Rashi</w:t>
      </w:r>
      <w:proofErr w:type="spellEnd"/>
      <w:r w:rsidRPr="006F0D2A">
        <w:t xml:space="preserve"> </w:t>
      </w:r>
      <w:r>
        <w:t>(</w:t>
      </w:r>
      <w:r w:rsidRPr="006F0D2A">
        <w:t>Yehoshua 17:1</w:t>
      </w:r>
      <w:r>
        <w:t>)</w:t>
      </w:r>
      <w:r w:rsidRPr="006F0D2A">
        <w:t xml:space="preserve"> regarding Machir ben Menashe being a </w:t>
      </w:r>
      <w:r>
        <w:rPr>
          <w:i/>
          <w:iCs/>
        </w:rPr>
        <w:t>“</w:t>
      </w:r>
      <w:r w:rsidRPr="009F1535">
        <w:t>man of war</w:t>
      </w:r>
      <w:r>
        <w:rPr>
          <w:i/>
          <w:iCs/>
        </w:rPr>
        <w:t>”</w:t>
      </w:r>
      <w:r w:rsidRPr="006F0D2A">
        <w:t xml:space="preserve"> who </w:t>
      </w:r>
      <w:r>
        <w:t xml:space="preserve">received </w:t>
      </w:r>
      <w:r w:rsidRPr="006F0D2A">
        <w:t xml:space="preserve">the Gilad. With these brief words, </w:t>
      </w:r>
      <w:proofErr w:type="spellStart"/>
      <w:r w:rsidRPr="006F0D2A">
        <w:t>Rashi</w:t>
      </w:r>
      <w:proofErr w:type="spellEnd"/>
      <w:r w:rsidRPr="006F0D2A">
        <w:t xml:space="preserve"> addresses a glaring historical </w:t>
      </w:r>
      <w:r>
        <w:t>question</w:t>
      </w:r>
      <w:r w:rsidRPr="006F0D2A">
        <w:t xml:space="preserve">: why did half of Menashe receive a portion </w:t>
      </w:r>
      <w:r>
        <w:t>east of the Jordan</w:t>
      </w:r>
      <w:r w:rsidRPr="006F0D2A">
        <w:t xml:space="preserve"> if they never requested it, and why weren</w:t>
      </w:r>
      <w:r>
        <w:t>’</w:t>
      </w:r>
      <w:r w:rsidRPr="006F0D2A">
        <w:t xml:space="preserve">t they subject to the </w:t>
      </w:r>
      <w:r>
        <w:t xml:space="preserve">conditions </w:t>
      </w:r>
      <w:r w:rsidRPr="006F0D2A">
        <w:t xml:space="preserve">imposed on </w:t>
      </w:r>
      <w:r w:rsidRPr="00762EF9">
        <w:t>the</w:t>
      </w:r>
      <w:r>
        <w:rPr>
          <w:i/>
          <w:iCs/>
        </w:rPr>
        <w:t xml:space="preserve"> </w:t>
      </w:r>
      <w:r>
        <w:t xml:space="preserve">tribes of </w:t>
      </w:r>
      <w:r w:rsidRPr="00212FEC">
        <w:t>Gad</w:t>
      </w:r>
      <w:r w:rsidRPr="006F0D2A">
        <w:t xml:space="preserve"> and </w:t>
      </w:r>
      <w:r w:rsidRPr="00762EF9">
        <w:t>Reuven</w:t>
      </w:r>
      <w:r w:rsidRPr="006F0D2A">
        <w:t xml:space="preserve">? </w:t>
      </w:r>
    </w:p>
    <w:p w14:paraId="66365EA3" w14:textId="77777777" w:rsidR="00A2122D" w:rsidRPr="006F0D2A" w:rsidRDefault="00A2122D" w:rsidP="00A2122D">
      <w:pPr>
        <w:bidi w:val="0"/>
        <w:ind w:firstLine="426"/>
      </w:pPr>
      <w:proofErr w:type="spellStart"/>
      <w:r w:rsidRPr="006F0D2A">
        <w:t>Rashi</w:t>
      </w:r>
      <w:proofErr w:type="spellEnd"/>
      <w:r>
        <w:t xml:space="preserve"> answers </w:t>
      </w:r>
      <w:r w:rsidRPr="006F0D2A">
        <w:t>that Machir</w:t>
      </w:r>
      <w:r>
        <w:t xml:space="preserve">, </w:t>
      </w:r>
      <w:r w:rsidRPr="006F0D2A">
        <w:t xml:space="preserve">a formidable warrior </w:t>
      </w:r>
      <w:r>
        <w:t xml:space="preserve">and grandson of </w:t>
      </w:r>
      <w:r w:rsidRPr="006F0D2A">
        <w:t>Yosef</w:t>
      </w:r>
      <w:r>
        <w:t xml:space="preserve">, </w:t>
      </w:r>
      <w:r w:rsidRPr="006F0D2A">
        <w:t xml:space="preserve">had already conquered portions of the Gilad early on. </w:t>
      </w:r>
      <w:proofErr w:type="spellStart"/>
      <w:r w:rsidRPr="006F0D2A">
        <w:t>Rashi</w:t>
      </w:r>
      <w:proofErr w:type="spellEnd"/>
      <w:r w:rsidRPr="006F0D2A">
        <w:t xml:space="preserve"> is following the historical timeline </w:t>
      </w:r>
      <w:r>
        <w:t xml:space="preserve">of </w:t>
      </w:r>
      <w:r w:rsidRPr="006F0D2A">
        <w:t xml:space="preserve">Rabbi </w:t>
      </w:r>
      <w:proofErr w:type="spellStart"/>
      <w:r w:rsidRPr="006F0D2A">
        <w:t>Yosei</w:t>
      </w:r>
      <w:proofErr w:type="spellEnd"/>
      <w:r w:rsidRPr="006F0D2A">
        <w:t xml:space="preserve"> ben </w:t>
      </w:r>
      <w:proofErr w:type="spellStart"/>
      <w:r w:rsidRPr="006F0D2A">
        <w:t>Chalafta</w:t>
      </w:r>
      <w:proofErr w:type="spellEnd"/>
      <w:r w:rsidRPr="006F0D2A">
        <w:t xml:space="preserve"> </w:t>
      </w:r>
      <w:r>
        <w:t>(</w:t>
      </w:r>
      <w:r w:rsidRPr="00762EF9">
        <w:t xml:space="preserve">Seder Olam </w:t>
      </w:r>
      <w:proofErr w:type="spellStart"/>
      <w:r w:rsidRPr="00762EF9">
        <w:t>Rabba</w:t>
      </w:r>
      <w:proofErr w:type="spellEnd"/>
      <w:r>
        <w:t>,</w:t>
      </w:r>
      <w:r w:rsidRPr="00762EF9">
        <w:t xml:space="preserve"> </w:t>
      </w:r>
      <w:r>
        <w:t>9)</w:t>
      </w:r>
      <w:r w:rsidRPr="006F0D2A">
        <w:t xml:space="preserve">, which states that Machir </w:t>
      </w:r>
      <w:r>
        <w:t xml:space="preserve">(as well as Yair) was </w:t>
      </w:r>
      <w:r w:rsidRPr="006F0D2A">
        <w:t>born during Yaakov</w:t>
      </w:r>
      <w:r>
        <w:t>’s</w:t>
      </w:r>
      <w:r w:rsidRPr="006F0D2A">
        <w:t xml:space="preserve"> lifetime and survived past </w:t>
      </w:r>
      <w:r>
        <w:t xml:space="preserve">Moshe’s </w:t>
      </w:r>
      <w:r w:rsidRPr="006F0D2A">
        <w:t xml:space="preserve">death. </w:t>
      </w:r>
    </w:p>
    <w:p w14:paraId="4ED975AC" w14:textId="77777777" w:rsidR="00A2122D" w:rsidRPr="006F0D2A" w:rsidRDefault="00A2122D" w:rsidP="00A2122D">
      <w:pPr>
        <w:bidi w:val="0"/>
        <w:ind w:firstLine="426"/>
      </w:pPr>
      <w:r w:rsidRPr="006F0D2A">
        <w:t xml:space="preserve">This approach is mirrored by a </w:t>
      </w:r>
      <w:r>
        <w:t xml:space="preserve">student of </w:t>
      </w:r>
      <w:proofErr w:type="spellStart"/>
      <w:r w:rsidRPr="00382506">
        <w:t>Rasag</w:t>
      </w:r>
      <w:proofErr w:type="spellEnd"/>
      <w:r w:rsidRPr="006F0D2A">
        <w:t>, who writes that Machir</w:t>
      </w:r>
      <w:r>
        <w:t>’</w:t>
      </w:r>
      <w:r w:rsidRPr="006F0D2A">
        <w:t>s maternal grandfather was the original patriarch of Gilad, and Yair subsequently seized it. Because they held this land since the days of Yosef</w:t>
      </w:r>
      <w:r>
        <w:t>’</w:t>
      </w:r>
      <w:r w:rsidRPr="006F0D2A">
        <w:t xml:space="preserve">s rule over Egypt, Moshe </w:t>
      </w:r>
      <w:r>
        <w:t xml:space="preserve">(see </w:t>
      </w:r>
      <w:proofErr w:type="spellStart"/>
      <w:r>
        <w:t>Devarim</w:t>
      </w:r>
      <w:proofErr w:type="spellEnd"/>
      <w:r>
        <w:t xml:space="preserve"> 3:15) </w:t>
      </w:r>
      <w:r w:rsidRPr="006F0D2A">
        <w:t xml:space="preserve">and Yehoshua </w:t>
      </w:r>
      <w:r>
        <w:t xml:space="preserve">(see Yehoshua 17:1) </w:t>
      </w:r>
      <w:r w:rsidRPr="006F0D2A">
        <w:t>granted them their ancestral historical holding</w:t>
      </w:r>
      <w:r>
        <w:t>s</w:t>
      </w:r>
      <w:r w:rsidRPr="006F0D2A">
        <w:t xml:space="preserve">. The accounts in the </w:t>
      </w:r>
      <w:r w:rsidRPr="006F0D2A">
        <w:rPr>
          <w:i/>
          <w:iCs/>
        </w:rPr>
        <w:t>Chumash</w:t>
      </w:r>
      <w:r w:rsidRPr="006F0D2A">
        <w:t xml:space="preserve"> regarding Machir</w:t>
      </w:r>
      <w:r>
        <w:t>,</w:t>
      </w:r>
      <w:r w:rsidRPr="006F0D2A">
        <w:t xml:space="preserve"> Yair</w:t>
      </w:r>
      <w:r>
        <w:t xml:space="preserve">, and </w:t>
      </w:r>
      <w:proofErr w:type="spellStart"/>
      <w:r>
        <w:t>Novach</w:t>
      </w:r>
      <w:proofErr w:type="spellEnd"/>
      <w:r w:rsidRPr="006F0D2A">
        <w:t xml:space="preserve"> actually de</w:t>
      </w:r>
      <w:r>
        <w:t xml:space="preserve">pict </w:t>
      </w:r>
      <w:r w:rsidRPr="006F0D2A">
        <w:t xml:space="preserve">past history. </w:t>
      </w:r>
    </w:p>
    <w:p w14:paraId="078414E4" w14:textId="77777777" w:rsidR="00A2122D" w:rsidRPr="006F0D2A" w:rsidRDefault="00A2122D" w:rsidP="00A2122D">
      <w:pPr>
        <w:bidi w:val="0"/>
        <w:ind w:firstLine="426"/>
      </w:pPr>
      <w:r w:rsidRPr="006F0D2A">
        <w:t xml:space="preserve">However, with all due reverence, this approach leaves a lingering </w:t>
      </w:r>
      <w:r>
        <w:t>question</w:t>
      </w:r>
      <w:r w:rsidRPr="006F0D2A">
        <w:t>. If th</w:t>
      </w:r>
      <w:r>
        <w:t xml:space="preserve">e surprising population </w:t>
      </w:r>
      <w:r w:rsidRPr="006F0D2A">
        <w:t xml:space="preserve">growth was </w:t>
      </w:r>
      <w:r>
        <w:t xml:space="preserve">made possible </w:t>
      </w:r>
      <w:r w:rsidRPr="006F0D2A">
        <w:t xml:space="preserve">by the </w:t>
      </w:r>
      <w:proofErr w:type="spellStart"/>
      <w:r w:rsidRPr="006F0D2A">
        <w:rPr>
          <w:i/>
          <w:iCs/>
        </w:rPr>
        <w:t>beracha</w:t>
      </w:r>
      <w:proofErr w:type="spellEnd"/>
      <w:r w:rsidRPr="006F0D2A">
        <w:t xml:space="preserve"> of Yosef, why d</w:t>
      </w:r>
      <w:r>
        <w:t xml:space="preserve">o we </w:t>
      </w:r>
      <w:r w:rsidRPr="006F0D2A">
        <w:t>n</w:t>
      </w:r>
      <w:r>
        <w:t>o</w:t>
      </w:r>
      <w:r w:rsidRPr="006F0D2A">
        <w:t xml:space="preserve">t </w:t>
      </w:r>
      <w:r>
        <w:t xml:space="preserve">find the same </w:t>
      </w:r>
      <w:r w:rsidRPr="006F0D2A">
        <w:t xml:space="preserve">growth </w:t>
      </w:r>
      <w:r>
        <w:t xml:space="preserve">in the Tribe of </w:t>
      </w:r>
      <w:proofErr w:type="spellStart"/>
      <w:r>
        <w:t>Ephrayim</w:t>
      </w:r>
      <w:proofErr w:type="spellEnd"/>
      <w:r w:rsidRPr="006F0D2A">
        <w:t xml:space="preserve">? </w:t>
      </w:r>
      <w:r w:rsidRPr="0098298E">
        <w:t>Next</w:t>
      </w:r>
      <w:r w:rsidRPr="006F0D2A">
        <w:t xml:space="preserve"> week we will humbly suggest a</w:t>
      </w:r>
      <w:r>
        <w:t>n answer to handle all the questions</w:t>
      </w:r>
      <w:r w:rsidRPr="006F0D2A">
        <w:t xml:space="preserve">. </w:t>
      </w:r>
    </w:p>
    <w:p w14:paraId="7122144A" w14:textId="77777777" w:rsidR="00A2122D" w:rsidRPr="006F0D2A" w:rsidRDefault="00A2122D" w:rsidP="00A2122D">
      <w:pPr>
        <w:bidi w:val="0"/>
        <w:ind w:firstLine="426"/>
      </w:pPr>
      <w:r w:rsidRPr="006F0D2A">
        <w:t xml:space="preserve">We see </w:t>
      </w:r>
      <w:r>
        <w:t xml:space="preserve">again </w:t>
      </w:r>
      <w:r w:rsidRPr="006F0D2A">
        <w:rPr>
          <w:i/>
          <w:iCs/>
        </w:rPr>
        <w:t>Chazal</w:t>
      </w:r>
      <w:r>
        <w:t>’s principle</w:t>
      </w:r>
      <w:r w:rsidRPr="006F0D2A">
        <w:t xml:space="preserve">: </w:t>
      </w:r>
      <w:r>
        <w:rPr>
          <w:i/>
          <w:iCs/>
        </w:rPr>
        <w:t>“</w:t>
      </w:r>
      <w:r>
        <w:t>The w</w:t>
      </w:r>
      <w:r w:rsidRPr="00566A64">
        <w:t xml:space="preserve">ords of Torah </w:t>
      </w:r>
      <w:r>
        <w:t xml:space="preserve">are ‘poor’ </w:t>
      </w:r>
      <w:r w:rsidRPr="00566A64">
        <w:t>in one place</w:t>
      </w:r>
      <w:r w:rsidRPr="006F0D2A">
        <w:rPr>
          <w:i/>
          <w:iCs/>
        </w:rPr>
        <w:t xml:space="preserve">, </w:t>
      </w:r>
      <w:r w:rsidRPr="00566A64">
        <w:t xml:space="preserve">but are </w:t>
      </w:r>
      <w:r>
        <w:t>‘</w:t>
      </w:r>
      <w:r w:rsidRPr="00566A64">
        <w:t>rich</w:t>
      </w:r>
      <w:r>
        <w:t>’</w:t>
      </w:r>
      <w:r w:rsidRPr="00566A64">
        <w:t xml:space="preserve"> in another</w:t>
      </w:r>
      <w:r>
        <w:rPr>
          <w:i/>
          <w:iCs/>
        </w:rPr>
        <w:t>”</w:t>
      </w:r>
      <w:r w:rsidRPr="006F0D2A">
        <w:t xml:space="preserve"> (</w:t>
      </w:r>
      <w:proofErr w:type="spellStart"/>
      <w:r w:rsidRPr="00566A64">
        <w:t>Otzar</w:t>
      </w:r>
      <w:proofErr w:type="spellEnd"/>
      <w:r w:rsidRPr="00566A64">
        <w:t xml:space="preserve"> Midrashim</w:t>
      </w:r>
      <w:r>
        <w:t xml:space="preserve"> 32</w:t>
      </w:r>
      <w:r w:rsidRPr="006F0D2A">
        <w:t xml:space="preserve">). </w:t>
      </w:r>
      <w:r>
        <w:t>It is l</w:t>
      </w:r>
      <w:r w:rsidRPr="006F0D2A">
        <w:t>ike a merchant ship bringing food from afar</w:t>
      </w:r>
      <w:r>
        <w:t xml:space="preserve"> (see </w:t>
      </w:r>
      <w:proofErr w:type="spellStart"/>
      <w:r>
        <w:t>Mishlei</w:t>
      </w:r>
      <w:proofErr w:type="spellEnd"/>
      <w:r>
        <w:t xml:space="preserve"> 31:14). One must </w:t>
      </w:r>
      <w:r w:rsidRPr="006F0D2A">
        <w:t>comprehensive</w:t>
      </w:r>
      <w:r>
        <w:t>ly</w:t>
      </w:r>
      <w:r w:rsidRPr="006F0D2A">
        <w:t xml:space="preserve"> review all </w:t>
      </w:r>
      <w:r w:rsidRPr="000F06BC">
        <w:t>the</w:t>
      </w:r>
      <w:r>
        <w:t xml:space="preserve"> sources to receive a </w:t>
      </w:r>
      <w:r w:rsidRPr="006F0D2A">
        <w:t xml:space="preserve">complete picture. </w:t>
      </w:r>
    </w:p>
    <w:p w14:paraId="43715431" w14:textId="77777777" w:rsidR="00A2122D" w:rsidRPr="006F0D2A" w:rsidRDefault="00A2122D" w:rsidP="00A2122D">
      <w:pPr>
        <w:bidi w:val="0"/>
        <w:ind w:firstLine="426"/>
      </w:pPr>
      <w:r w:rsidRPr="006F0D2A">
        <w:t xml:space="preserve">Let us take this as a profound </w:t>
      </w:r>
      <w:r>
        <w:t xml:space="preserve">lesson </w:t>
      </w:r>
      <w:r w:rsidRPr="006F0D2A">
        <w:t xml:space="preserve">for our daily lives: never rely </w:t>
      </w:r>
      <w:r>
        <w:t xml:space="preserve">on the information around us as a one-dimensional </w:t>
      </w:r>
      <w:r w:rsidRPr="006F0D2A">
        <w:t xml:space="preserve">reality. Instead, a multi-dimensional perspective </w:t>
      </w:r>
      <w:r>
        <w:t>provides a higher resolution and more truthful picture</w:t>
      </w:r>
      <w:r w:rsidRPr="006F0D2A">
        <w:t xml:space="preserve">. </w:t>
      </w:r>
    </w:p>
    <w:p w14:paraId="75AA2F8E" w14:textId="4EAF2351" w:rsidR="007F403C" w:rsidRPr="00F62999" w:rsidRDefault="00462D70" w:rsidP="004D246C">
      <w:pPr>
        <w:bidi w:val="0"/>
        <w:spacing w:line="276" w:lineRule="auto"/>
        <w:ind w:firstLine="426"/>
      </w:pPr>
      <w:r>
        <w:rPr>
          <w:noProof/>
        </w:rPr>
        <w:drawing>
          <wp:anchor distT="0" distB="0" distL="114300" distR="114300" simplePos="0" relativeHeight="251667968" behindDoc="1" locked="0" layoutInCell="1" allowOverlap="1" wp14:anchorId="30CD6C17" wp14:editId="4B8CB19A">
            <wp:simplePos x="0" y="0"/>
            <wp:positionH relativeFrom="page">
              <wp:align>left</wp:align>
            </wp:positionH>
            <wp:positionV relativeFrom="paragraph">
              <wp:posOffset>4445</wp:posOffset>
            </wp:positionV>
            <wp:extent cx="7661910" cy="3482502"/>
            <wp:effectExtent l="0" t="0" r="0" b="381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682742" cy="349197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69EF897F" w14:textId="17D20EC1" w:rsidR="004D246C" w:rsidRDefault="004D246C" w:rsidP="00D01D94">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0FDE569D" w14:textId="73841266" w:rsidR="00D01D94" w:rsidRPr="004D246C" w:rsidRDefault="004D246C" w:rsidP="00D01D94">
            <w:pPr>
              <w:bidi w:val="0"/>
              <w:jc w:val="center"/>
              <w:rPr>
                <w:sz w:val="18"/>
                <w:szCs w:val="18"/>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260" w:type="dxa"/>
            <w:gridSpan w:val="8"/>
            <w:tcBorders>
              <w:top w:val="single" w:sz="4" w:space="0" w:color="auto"/>
              <w:bottom w:val="single" w:sz="4" w:space="0" w:color="auto"/>
            </w:tcBorders>
            <w:vAlign w:val="center"/>
          </w:tcPr>
          <w:p w14:paraId="56445DDF" w14:textId="77777777" w:rsidR="00D01D94" w:rsidRDefault="00D01D94" w:rsidP="00650CBD">
            <w:pPr>
              <w:bidi w:val="0"/>
              <w:jc w:val="center"/>
              <w:rPr>
                <w:sz w:val="16"/>
                <w:szCs w:val="16"/>
              </w:rPr>
            </w:pPr>
          </w:p>
          <w:p w14:paraId="4B6F74A6" w14:textId="5AF7249C" w:rsidR="00650CBD" w:rsidRPr="00650CBD" w:rsidRDefault="00650CBD" w:rsidP="00D01D94">
            <w:pPr>
              <w:bidi w:val="0"/>
              <w:jc w:val="center"/>
              <w:rPr>
                <w:sz w:val="16"/>
                <w:szCs w:val="16"/>
              </w:rPr>
            </w:pPr>
            <w:r w:rsidRPr="00650CBD">
              <w:rPr>
                <w:sz w:val="16"/>
                <w:szCs w:val="16"/>
              </w:rPr>
              <w:t xml:space="preserve">Rav </w:t>
            </w:r>
            <w:r w:rsidRPr="00650CBD">
              <w:rPr>
                <w:b/>
                <w:bCs/>
                <w:sz w:val="16"/>
                <w:szCs w:val="16"/>
              </w:rPr>
              <w:t xml:space="preserve">Moshe </w:t>
            </w:r>
            <w:proofErr w:type="spellStart"/>
            <w:r w:rsidRPr="00650CBD">
              <w:rPr>
                <w:b/>
                <w:bCs/>
                <w:sz w:val="16"/>
                <w:szCs w:val="16"/>
              </w:rPr>
              <w:t>Zvi</w:t>
            </w:r>
            <w:proofErr w:type="spellEnd"/>
            <w:r w:rsidRPr="00650CBD">
              <w:rPr>
                <w:b/>
                <w:bCs/>
                <w:sz w:val="16"/>
                <w:szCs w:val="16"/>
              </w:rPr>
              <w:t xml:space="preserve"> (Milton) </w:t>
            </w:r>
            <w:proofErr w:type="spellStart"/>
            <w:r w:rsidRPr="00650CBD">
              <w:rPr>
                <w:b/>
                <w:bCs/>
                <w:sz w:val="16"/>
                <w:szCs w:val="16"/>
              </w:rPr>
              <w:t>Polin</w:t>
            </w:r>
            <w:proofErr w:type="spellEnd"/>
            <w:r w:rsidRPr="00650CBD">
              <w:rPr>
                <w:sz w:val="16"/>
                <w:szCs w:val="16"/>
              </w:rPr>
              <w:t xml:space="preserve"> </w:t>
            </w:r>
            <w:proofErr w:type="spellStart"/>
            <w:r w:rsidRPr="00650CBD">
              <w:rPr>
                <w:sz w:val="16"/>
                <w:szCs w:val="16"/>
              </w:rPr>
              <w:t>z"l</w:t>
            </w:r>
            <w:proofErr w:type="spellEnd"/>
          </w:p>
          <w:p w14:paraId="0DDAEEC8" w14:textId="77777777" w:rsidR="00650CBD" w:rsidRPr="00650CBD" w:rsidRDefault="00650CBD" w:rsidP="00650CBD">
            <w:pPr>
              <w:bidi w:val="0"/>
              <w:jc w:val="center"/>
              <w:rPr>
                <w:sz w:val="16"/>
                <w:szCs w:val="16"/>
              </w:rPr>
            </w:pPr>
            <w:r w:rsidRPr="00650CBD">
              <w:rPr>
                <w:sz w:val="16"/>
                <w:szCs w:val="16"/>
              </w:rPr>
              <w:t>Tammuz 19, 5778</w:t>
            </w:r>
          </w:p>
          <w:p w14:paraId="1B3D3F0D" w14:textId="13A1DC3B" w:rsidR="007F403C" w:rsidRPr="00EE1B83" w:rsidRDefault="007F403C" w:rsidP="007F403C">
            <w:pPr>
              <w:bidi w:val="0"/>
              <w:ind w:left="34"/>
              <w:contextualSpacing/>
              <w:jc w:val="center"/>
              <w:rPr>
                <w:sz w:val="16"/>
                <w:szCs w:val="16"/>
                <w:rtl/>
              </w:rPr>
            </w:pPr>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D01D94">
            <w:pPr>
              <w:tabs>
                <w:tab w:val="left" w:pos="743"/>
              </w:tabs>
              <w:bidi w:val="0"/>
              <w:ind w:left="284" w:right="34"/>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7DE3D15E" w14:textId="77777777" w:rsidR="00D01D94" w:rsidRDefault="00D01D94" w:rsidP="00D01D94">
      <w:pPr>
        <w:pStyle w:val="NormalWeb"/>
        <w:spacing w:before="0" w:beforeAutospacing="0" w:after="0" w:afterAutospacing="0"/>
        <w:ind w:left="540" w:right="360"/>
        <w:jc w:val="center"/>
        <w:rPr>
          <w:b/>
          <w:bCs/>
          <w:sz w:val="16"/>
          <w:szCs w:val="16"/>
        </w:rPr>
      </w:pPr>
    </w:p>
    <w:p w14:paraId="6868E639" w14:textId="7C12F23C" w:rsidR="00D01D94" w:rsidRPr="005F2DB5" w:rsidRDefault="00D01D94" w:rsidP="00D01D94">
      <w:pPr>
        <w:pStyle w:val="NormalWeb"/>
        <w:spacing w:before="0" w:beforeAutospacing="0" w:after="0" w:afterAutospacing="0"/>
        <w:ind w:left="540" w:right="360"/>
        <w:jc w:val="center"/>
        <w:rPr>
          <w:sz w:val="16"/>
          <w:szCs w:val="16"/>
        </w:rPr>
      </w:pPr>
      <w:r w:rsidRPr="005F2DB5">
        <w:rPr>
          <w:b/>
          <w:bCs/>
          <w:sz w:val="16"/>
          <w:szCs w:val="16"/>
        </w:rPr>
        <w:t>Mina</w:t>
      </w:r>
      <w:r w:rsidRPr="005F2DB5">
        <w:rPr>
          <w:sz w:val="16"/>
          <w:szCs w:val="16"/>
        </w:rPr>
        <w:t xml:space="preserve"> </w:t>
      </w:r>
      <w:r w:rsidRPr="005F2DB5">
        <w:rPr>
          <w:b/>
          <w:bCs/>
          <w:sz w:val="16"/>
          <w:szCs w:val="16"/>
        </w:rPr>
        <w:t xml:space="preserve">Presser </w:t>
      </w:r>
      <w:r w:rsidRPr="005F2DB5">
        <w:rPr>
          <w:sz w:val="16"/>
          <w:szCs w:val="16"/>
        </w:rPr>
        <w:t>bat</w:t>
      </w:r>
      <w:r w:rsidRPr="005F2DB5">
        <w:rPr>
          <w:b/>
          <w:bCs/>
          <w:sz w:val="16"/>
          <w:szCs w:val="16"/>
        </w:rPr>
        <w:t xml:space="preserve"> </w:t>
      </w:r>
      <w:proofErr w:type="spellStart"/>
      <w:r w:rsidRPr="005F2DB5">
        <w:rPr>
          <w:b/>
          <w:bCs/>
          <w:sz w:val="16"/>
          <w:szCs w:val="16"/>
        </w:rPr>
        <w:t>Harav</w:t>
      </w:r>
      <w:proofErr w:type="spellEnd"/>
      <w:r w:rsidRPr="005F2DB5">
        <w:rPr>
          <w:b/>
          <w:bCs/>
          <w:sz w:val="16"/>
          <w:szCs w:val="16"/>
        </w:rPr>
        <w:t xml:space="preserve"> David &amp; Bina</w:t>
      </w:r>
      <w:r>
        <w:rPr>
          <w:sz w:val="16"/>
          <w:szCs w:val="16"/>
        </w:rPr>
        <w:t xml:space="preserve">, </w:t>
      </w:r>
      <w:r w:rsidRPr="005F2DB5">
        <w:rPr>
          <w:sz w:val="16"/>
          <w:szCs w:val="16"/>
        </w:rPr>
        <w:t>24 Tammuz</w:t>
      </w:r>
      <w:r>
        <w:rPr>
          <w:sz w:val="16"/>
          <w:szCs w:val="16"/>
        </w:rPr>
        <w:t xml:space="preserve"> </w:t>
      </w:r>
      <w:r w:rsidRPr="005F2DB5">
        <w:rPr>
          <w:sz w:val="16"/>
          <w:szCs w:val="16"/>
        </w:rPr>
        <w:t xml:space="preserve">and members of her family who perished in the </w:t>
      </w:r>
      <w:proofErr w:type="spellStart"/>
      <w:r w:rsidRPr="005F2DB5">
        <w:rPr>
          <w:sz w:val="16"/>
          <w:szCs w:val="16"/>
        </w:rPr>
        <w:t>shoah</w:t>
      </w:r>
      <w:proofErr w:type="spellEnd"/>
      <w:r w:rsidRPr="005F2DB5">
        <w:rPr>
          <w:sz w:val="16"/>
          <w:szCs w:val="16"/>
        </w:rPr>
        <w:t xml:space="preserve"> Al Kiddush Hashem</w:t>
      </w:r>
    </w:p>
    <w:p w14:paraId="381517D5" w14:textId="1C401668" w:rsidR="00E5518A" w:rsidRDefault="00E5518A" w:rsidP="00E5518A">
      <w:pPr>
        <w:bidi w:val="0"/>
        <w:ind w:firstLine="426"/>
        <w:jc w:val="center"/>
      </w:pPr>
    </w:p>
    <w:p w14:paraId="61A846F5" w14:textId="16E61CC9" w:rsidR="00E5518A" w:rsidRDefault="00E5518A" w:rsidP="00E5518A">
      <w:pPr>
        <w:bidi w:val="0"/>
        <w:ind w:firstLine="426"/>
        <w:jc w:val="center"/>
      </w:pPr>
    </w:p>
    <w:p w14:paraId="14EAFFFF" w14:textId="166B9D3A" w:rsidR="009446A9" w:rsidRDefault="009446A9" w:rsidP="009446A9">
      <w:pPr>
        <w:bidi w:val="0"/>
        <w:ind w:firstLine="426"/>
        <w:jc w:val="center"/>
      </w:pPr>
    </w:p>
    <w:p w14:paraId="397B6767" w14:textId="6197CF69" w:rsidR="009446A9" w:rsidRDefault="00D01D94" w:rsidP="009446A9">
      <w:pPr>
        <w:bidi w:val="0"/>
        <w:ind w:firstLine="426"/>
        <w:jc w:val="center"/>
      </w:pPr>
      <w:r>
        <w:rPr>
          <w:noProof/>
        </w:rPr>
        <w:drawing>
          <wp:anchor distT="0" distB="0" distL="114300" distR="114300" simplePos="0" relativeHeight="251670016" behindDoc="1" locked="1" layoutInCell="1" allowOverlap="1" wp14:anchorId="17FCDC3E" wp14:editId="3B2204C8">
            <wp:simplePos x="0" y="0"/>
            <wp:positionH relativeFrom="margin">
              <wp:posOffset>1597660</wp:posOffset>
            </wp:positionH>
            <wp:positionV relativeFrom="page">
              <wp:posOffset>10031730</wp:posOffset>
            </wp:positionV>
            <wp:extent cx="3605530" cy="636905"/>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5530" cy="636905"/>
                    </a:xfrm>
                    <a:prstGeom prst="rect">
                      <a:avLst/>
                    </a:prstGeom>
                    <a:noFill/>
                  </pic:spPr>
                </pic:pic>
              </a:graphicData>
            </a:graphic>
            <wp14:sizeRelH relativeFrom="page">
              <wp14:pctWidth>0</wp14:pctWidth>
            </wp14:sizeRelH>
            <wp14:sizeRelV relativeFrom="page">
              <wp14:pctHeight>0</wp14:pctHeight>
            </wp14:sizeRelV>
          </wp:anchor>
        </w:drawing>
      </w:r>
    </w:p>
    <w:p w14:paraId="3C8400C3" w14:textId="2F1E0EB6" w:rsidR="009446A9" w:rsidRDefault="009446A9" w:rsidP="009446A9">
      <w:pPr>
        <w:bidi w:val="0"/>
        <w:ind w:firstLine="426"/>
        <w:jc w:val="center"/>
      </w:pP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652402EB" w14:textId="7A231756" w:rsidR="00040676" w:rsidRDefault="00582D3E" w:rsidP="00634DF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6A9C224C" w14:textId="77777777" w:rsidR="00253653" w:rsidRPr="00D57823" w:rsidRDefault="00253653" w:rsidP="00253653">
      <w:pPr>
        <w:bidi w:val="0"/>
        <w:rPr>
          <w:b/>
          <w:bCs/>
          <w:i/>
          <w:iCs/>
        </w:rPr>
      </w:pPr>
      <w:bookmarkStart w:id="2" w:name="_Hlk230959622"/>
      <w:r>
        <w:rPr>
          <w:b/>
          <w:bCs/>
          <w:color w:val="D85640"/>
          <w:sz w:val="28"/>
          <w:szCs w:val="28"/>
        </w:rPr>
        <w:t xml:space="preserve">Coordinating </w:t>
      </w:r>
      <w:proofErr w:type="spellStart"/>
      <w:r>
        <w:rPr>
          <w:b/>
          <w:bCs/>
          <w:i/>
          <w:iCs/>
          <w:color w:val="D85640"/>
          <w:sz w:val="28"/>
          <w:szCs w:val="28"/>
        </w:rPr>
        <w:t>Ma’aser</w:t>
      </w:r>
      <w:proofErr w:type="spellEnd"/>
      <w:r>
        <w:rPr>
          <w:b/>
          <w:bCs/>
          <w:color w:val="D85640"/>
          <w:sz w:val="28"/>
          <w:szCs w:val="28"/>
        </w:rPr>
        <w:t xml:space="preserve"> with Small Donations</w:t>
      </w:r>
      <w:r w:rsidRPr="00D57823">
        <w:rPr>
          <w:b/>
          <w:bCs/>
          <w:i/>
          <w:iCs/>
          <w:color w:val="D85640"/>
          <w:sz w:val="28"/>
          <w:szCs w:val="28"/>
        </w:rPr>
        <w:t xml:space="preserve"> </w:t>
      </w:r>
    </w:p>
    <w:p w14:paraId="65D88F5C" w14:textId="67340C26" w:rsidR="00253653" w:rsidRPr="00E54003" w:rsidRDefault="00253653" w:rsidP="00253653">
      <w:pPr>
        <w:pStyle w:val="NormalWeb"/>
        <w:spacing w:after="0" w:afterAutospacing="0"/>
        <w:rPr>
          <w:color w:val="1F1F1F"/>
        </w:rPr>
      </w:pPr>
      <w:r>
        <w:rPr>
          <w:b/>
          <w:bCs/>
          <w:color w:val="D85640"/>
          <w:sz w:val="24"/>
          <w:szCs w:val="24"/>
          <w:u w:val="single"/>
        </w:rPr>
        <w:t>Q</w:t>
      </w:r>
      <w:r w:rsidRPr="00253653">
        <w:rPr>
          <w:b/>
          <w:bCs/>
          <w:color w:val="D85640"/>
          <w:sz w:val="24"/>
          <w:szCs w:val="24"/>
          <w:u w:val="single"/>
        </w:rPr>
        <w:t>uestion</w:t>
      </w:r>
      <w:r w:rsidRPr="00253653">
        <w:rPr>
          <w:b/>
          <w:bCs/>
          <w:color w:val="D85640"/>
          <w:sz w:val="24"/>
          <w:szCs w:val="24"/>
        </w:rPr>
        <w:t>:</w:t>
      </w:r>
      <w:r w:rsidRPr="00253653">
        <w:rPr>
          <w:sz w:val="24"/>
          <w:szCs w:val="24"/>
        </w:rPr>
        <w:t xml:space="preserve"> </w:t>
      </w:r>
      <w:r w:rsidRPr="00E54003">
        <w:rPr>
          <w:color w:val="1F1F1F"/>
        </w:rPr>
        <w:t xml:space="preserve">I have a </w:t>
      </w:r>
      <w:proofErr w:type="spellStart"/>
      <w:r w:rsidRPr="00E54003">
        <w:rPr>
          <w:i/>
          <w:iCs/>
          <w:color w:val="1F1F1F"/>
        </w:rPr>
        <w:t>ma’aser</w:t>
      </w:r>
      <w:proofErr w:type="spellEnd"/>
      <w:r w:rsidRPr="00E54003">
        <w:rPr>
          <w:i/>
          <w:iCs/>
          <w:color w:val="1F1F1F"/>
        </w:rPr>
        <w:t xml:space="preserve"> </w:t>
      </w:r>
      <w:proofErr w:type="spellStart"/>
      <w:r w:rsidRPr="00E54003">
        <w:rPr>
          <w:i/>
          <w:iCs/>
          <w:color w:val="1F1F1F"/>
        </w:rPr>
        <w:t>kesafim</w:t>
      </w:r>
      <w:proofErr w:type="spellEnd"/>
      <w:r w:rsidRPr="00E54003">
        <w:rPr>
          <w:color w:val="1F1F1F"/>
        </w:rPr>
        <w:t xml:space="preserve"> account </w:t>
      </w:r>
      <w:r>
        <w:rPr>
          <w:color w:val="1F1F1F"/>
        </w:rPr>
        <w:t xml:space="preserve">from which I write checks and do bank transfers. </w:t>
      </w:r>
      <w:bookmarkStart w:id="3" w:name="_Hlk230960993"/>
      <w:r w:rsidRPr="00E54003">
        <w:rPr>
          <w:color w:val="1F1F1F"/>
        </w:rPr>
        <w:t xml:space="preserve">I also give </w:t>
      </w:r>
      <w:r>
        <w:rPr>
          <w:color w:val="1F1F1F"/>
        </w:rPr>
        <w:t xml:space="preserve">small amounts of </w:t>
      </w:r>
      <w:r w:rsidRPr="00E54003">
        <w:rPr>
          <w:color w:val="1F1F1F"/>
        </w:rPr>
        <w:t xml:space="preserve">money to poor people who </w:t>
      </w:r>
      <w:r>
        <w:rPr>
          <w:color w:val="1F1F1F"/>
        </w:rPr>
        <w:t xml:space="preserve">collect </w:t>
      </w:r>
      <w:r w:rsidRPr="00E54003">
        <w:rPr>
          <w:color w:val="1F1F1F"/>
        </w:rPr>
        <w:t xml:space="preserve">in </w:t>
      </w:r>
      <w:r w:rsidRPr="00010553">
        <w:rPr>
          <w:i/>
          <w:iCs/>
          <w:color w:val="1F1F1F"/>
        </w:rPr>
        <w:t>shul</w:t>
      </w:r>
      <w:r w:rsidRPr="00E54003">
        <w:rPr>
          <w:color w:val="1F1F1F"/>
        </w:rPr>
        <w:t xml:space="preserve">. </w:t>
      </w:r>
      <w:bookmarkEnd w:id="3"/>
      <w:r w:rsidRPr="00E54003">
        <w:rPr>
          <w:color w:val="1F1F1F"/>
        </w:rPr>
        <w:t xml:space="preserve">Can/should I </w:t>
      </w:r>
      <w:r>
        <w:rPr>
          <w:color w:val="1F1F1F"/>
        </w:rPr>
        <w:t xml:space="preserve">deduct these donations from </w:t>
      </w:r>
      <w:r w:rsidRPr="00E54003">
        <w:rPr>
          <w:color w:val="1F1F1F"/>
        </w:rPr>
        <w:t xml:space="preserve">my </w:t>
      </w:r>
      <w:proofErr w:type="spellStart"/>
      <w:r w:rsidRPr="00E54003">
        <w:rPr>
          <w:i/>
          <w:iCs/>
          <w:color w:val="1F1F1F"/>
        </w:rPr>
        <w:t>ma’aser</w:t>
      </w:r>
      <w:proofErr w:type="spellEnd"/>
      <w:r w:rsidRPr="00E54003">
        <w:rPr>
          <w:color w:val="1F1F1F"/>
        </w:rPr>
        <w:t xml:space="preserve"> </w:t>
      </w:r>
      <w:r>
        <w:rPr>
          <w:color w:val="1F1F1F"/>
        </w:rPr>
        <w:t xml:space="preserve">“ledger” </w:t>
      </w:r>
      <w:r w:rsidRPr="00E54003">
        <w:rPr>
          <w:color w:val="1F1F1F"/>
        </w:rPr>
        <w:t xml:space="preserve">or give it from </w:t>
      </w:r>
      <w:r>
        <w:rPr>
          <w:color w:val="1F1F1F"/>
        </w:rPr>
        <w:t>“</w:t>
      </w:r>
      <w:r w:rsidRPr="00E54003">
        <w:rPr>
          <w:color w:val="1F1F1F"/>
        </w:rPr>
        <w:t>my own</w:t>
      </w:r>
      <w:r>
        <w:rPr>
          <w:color w:val="1F1F1F"/>
        </w:rPr>
        <w:t>”</w:t>
      </w:r>
      <w:r w:rsidRPr="00E54003">
        <w:rPr>
          <w:color w:val="1F1F1F"/>
        </w:rPr>
        <w:t xml:space="preserve"> money?</w:t>
      </w:r>
    </w:p>
    <w:bookmarkEnd w:id="2"/>
    <w:p w14:paraId="40009BF5" w14:textId="77777777" w:rsidR="00253653" w:rsidRDefault="00253653" w:rsidP="00253653">
      <w:pPr>
        <w:pStyle w:val="NormalWeb"/>
        <w:spacing w:before="0" w:beforeAutospacing="0" w:after="0" w:afterAutospacing="0"/>
        <w:rPr>
          <w:b/>
          <w:bCs/>
          <w:color w:val="D85640"/>
          <w:u w:val="single"/>
        </w:rPr>
      </w:pPr>
    </w:p>
    <w:p w14:paraId="726BE72F" w14:textId="77777777" w:rsidR="00253653" w:rsidRDefault="00253653" w:rsidP="00253653">
      <w:pPr>
        <w:pStyle w:val="NormalWeb"/>
        <w:spacing w:before="0" w:beforeAutospacing="0" w:after="0" w:afterAutospacing="0"/>
        <w:rPr>
          <w:color w:val="1F1F1F"/>
        </w:rPr>
      </w:pPr>
      <w:r w:rsidRPr="00253653">
        <w:rPr>
          <w:b/>
          <w:bCs/>
          <w:color w:val="D85640"/>
          <w:sz w:val="24"/>
          <w:szCs w:val="24"/>
          <w:u w:val="single"/>
        </w:rPr>
        <w:t>Answer</w:t>
      </w:r>
      <w:r w:rsidRPr="00253653">
        <w:rPr>
          <w:b/>
          <w:bCs/>
          <w:color w:val="D85640"/>
          <w:sz w:val="24"/>
          <w:szCs w:val="24"/>
        </w:rPr>
        <w:t>:</w:t>
      </w:r>
      <w:r w:rsidRPr="00253653">
        <w:rPr>
          <w:sz w:val="24"/>
          <w:szCs w:val="24"/>
        </w:rPr>
        <w:t xml:space="preserve"> </w:t>
      </w:r>
      <w:r w:rsidRPr="00E54003">
        <w:rPr>
          <w:color w:val="1F1F1F"/>
        </w:rPr>
        <w:t xml:space="preserve">There are two approaches to the halachic logic of </w:t>
      </w:r>
      <w:proofErr w:type="spellStart"/>
      <w:r w:rsidRPr="00E54003">
        <w:rPr>
          <w:i/>
          <w:iCs/>
          <w:color w:val="1F1F1F"/>
        </w:rPr>
        <w:t>ma’aser</w:t>
      </w:r>
      <w:proofErr w:type="spellEnd"/>
      <w:r w:rsidRPr="00E54003">
        <w:rPr>
          <w:i/>
          <w:iCs/>
          <w:color w:val="1F1F1F"/>
        </w:rPr>
        <w:t xml:space="preserve"> </w:t>
      </w:r>
      <w:proofErr w:type="spellStart"/>
      <w:r w:rsidRPr="00E54003">
        <w:rPr>
          <w:i/>
          <w:iCs/>
          <w:color w:val="1F1F1F"/>
        </w:rPr>
        <w:t>kesafim</w:t>
      </w:r>
      <w:proofErr w:type="spellEnd"/>
      <w:r>
        <w:rPr>
          <w:color w:val="1F1F1F"/>
        </w:rPr>
        <w:t>.</w:t>
      </w:r>
      <w:r w:rsidRPr="00E54003">
        <w:rPr>
          <w:color w:val="1F1F1F"/>
        </w:rPr>
        <w:t xml:space="preserve"> </w:t>
      </w:r>
      <w:proofErr w:type="spellStart"/>
      <w:r w:rsidRPr="00E54003">
        <w:rPr>
          <w:color w:val="1F1F1F"/>
        </w:rPr>
        <w:t>Minchat</w:t>
      </w:r>
      <w:proofErr w:type="spellEnd"/>
      <w:r w:rsidRPr="00E54003">
        <w:rPr>
          <w:color w:val="1F1F1F"/>
        </w:rPr>
        <w:t xml:space="preserve"> Asher</w:t>
      </w:r>
      <w:r>
        <w:rPr>
          <w:color w:val="1F1F1F"/>
        </w:rPr>
        <w:t xml:space="preserve"> (</w:t>
      </w:r>
      <w:proofErr w:type="spellStart"/>
      <w:r w:rsidRPr="00E54003">
        <w:rPr>
          <w:color w:val="1F1F1F"/>
        </w:rPr>
        <w:t>Devarim</w:t>
      </w:r>
      <w:proofErr w:type="spellEnd"/>
      <w:r>
        <w:rPr>
          <w:color w:val="1F1F1F"/>
        </w:rPr>
        <w:t xml:space="preserve"> 22) discusses whether </w:t>
      </w:r>
      <w:proofErr w:type="spellStart"/>
      <w:r w:rsidRPr="00E54003">
        <w:rPr>
          <w:i/>
          <w:iCs/>
          <w:color w:val="1F1F1F"/>
        </w:rPr>
        <w:t>ma</w:t>
      </w:r>
      <w:r>
        <w:rPr>
          <w:i/>
          <w:iCs/>
          <w:color w:val="1F1F1F"/>
        </w:rPr>
        <w:t>’aser</w:t>
      </w:r>
      <w:proofErr w:type="spellEnd"/>
      <w:r>
        <w:rPr>
          <w:i/>
          <w:iCs/>
          <w:color w:val="1F1F1F"/>
        </w:rPr>
        <w:t xml:space="preserve"> </w:t>
      </w:r>
      <w:proofErr w:type="spellStart"/>
      <w:r>
        <w:rPr>
          <w:i/>
          <w:iCs/>
          <w:color w:val="1F1F1F"/>
        </w:rPr>
        <w:t>kesafim</w:t>
      </w:r>
      <w:proofErr w:type="spellEnd"/>
      <w:r>
        <w:rPr>
          <w:i/>
          <w:iCs/>
          <w:color w:val="1F1F1F"/>
        </w:rPr>
        <w:t xml:space="preserve"> </w:t>
      </w:r>
      <w:r>
        <w:rPr>
          <w:color w:val="1F1F1F"/>
        </w:rPr>
        <w:t xml:space="preserve">is an extension of </w:t>
      </w:r>
      <w:proofErr w:type="spellStart"/>
      <w:r>
        <w:rPr>
          <w:i/>
          <w:iCs/>
          <w:color w:val="1F1F1F"/>
        </w:rPr>
        <w:t>ma’asrot</w:t>
      </w:r>
      <w:proofErr w:type="spellEnd"/>
      <w:r>
        <w:rPr>
          <w:color w:val="1F1F1F"/>
        </w:rPr>
        <w:t xml:space="preserve"> on agricultural produce, or a recommended way of fulfilling one’s </w:t>
      </w:r>
      <w:proofErr w:type="spellStart"/>
      <w:r>
        <w:rPr>
          <w:i/>
          <w:iCs/>
          <w:color w:val="1F1F1F"/>
        </w:rPr>
        <w:t>tzedaka</w:t>
      </w:r>
      <w:proofErr w:type="spellEnd"/>
      <w:r>
        <w:rPr>
          <w:color w:val="1F1F1F"/>
        </w:rPr>
        <w:t xml:space="preserve"> obligations. The latter seems to be the mainstream approach (see Rambam, </w:t>
      </w:r>
      <w:proofErr w:type="spellStart"/>
      <w:r>
        <w:rPr>
          <w:color w:val="1F1F1F"/>
        </w:rPr>
        <w:t>Matnot</w:t>
      </w:r>
      <w:proofErr w:type="spellEnd"/>
      <w:r>
        <w:rPr>
          <w:color w:val="1F1F1F"/>
        </w:rPr>
        <w:t xml:space="preserve"> </w:t>
      </w:r>
      <w:proofErr w:type="spellStart"/>
      <w:r>
        <w:rPr>
          <w:color w:val="1F1F1F"/>
        </w:rPr>
        <w:t>Aniyim</w:t>
      </w:r>
      <w:proofErr w:type="spellEnd"/>
      <w:r>
        <w:rPr>
          <w:color w:val="1F1F1F"/>
        </w:rPr>
        <w:t xml:space="preserve"> 7:5; Shulchan </w:t>
      </w:r>
      <w:proofErr w:type="spellStart"/>
      <w:r>
        <w:rPr>
          <w:color w:val="1F1F1F"/>
        </w:rPr>
        <w:t>Aruch</w:t>
      </w:r>
      <w:proofErr w:type="spellEnd"/>
      <w:r>
        <w:rPr>
          <w:color w:val="1F1F1F"/>
        </w:rPr>
        <w:t xml:space="preserve">, </w:t>
      </w:r>
      <w:proofErr w:type="spellStart"/>
      <w:r>
        <w:rPr>
          <w:color w:val="1F1F1F"/>
        </w:rPr>
        <w:t>Yoreh</w:t>
      </w:r>
      <w:proofErr w:type="spellEnd"/>
      <w:r>
        <w:rPr>
          <w:color w:val="1F1F1F"/>
        </w:rPr>
        <w:t xml:space="preserve"> </w:t>
      </w:r>
      <w:proofErr w:type="spellStart"/>
      <w:r>
        <w:rPr>
          <w:color w:val="1F1F1F"/>
        </w:rPr>
        <w:t>Deah</w:t>
      </w:r>
      <w:proofErr w:type="spellEnd"/>
      <w:r>
        <w:rPr>
          <w:color w:val="1F1F1F"/>
        </w:rPr>
        <w:t xml:space="preserve"> 249:1).</w:t>
      </w:r>
    </w:p>
    <w:p w14:paraId="3090E678" w14:textId="77777777" w:rsidR="00253653" w:rsidRDefault="00253653" w:rsidP="00253653">
      <w:pPr>
        <w:pStyle w:val="NormalWeb"/>
        <w:spacing w:before="0" w:beforeAutospacing="0" w:after="0" w:afterAutospacing="0"/>
        <w:ind w:firstLine="540"/>
        <w:rPr>
          <w:color w:val="1F1F1F"/>
        </w:rPr>
      </w:pPr>
      <w:r>
        <w:rPr>
          <w:color w:val="1F1F1F"/>
        </w:rPr>
        <w:t xml:space="preserve">There are also two main benefits from the </w:t>
      </w:r>
      <w:r>
        <w:rPr>
          <w:i/>
          <w:iCs/>
          <w:color w:val="1F1F1F"/>
        </w:rPr>
        <w:t xml:space="preserve">mitzva </w:t>
      </w:r>
      <w:r>
        <w:rPr>
          <w:color w:val="1F1F1F"/>
        </w:rPr>
        <w:t xml:space="preserve">of </w:t>
      </w:r>
      <w:proofErr w:type="spellStart"/>
      <w:r>
        <w:rPr>
          <w:i/>
          <w:iCs/>
          <w:color w:val="1F1F1F"/>
        </w:rPr>
        <w:t>tzedaka</w:t>
      </w:r>
      <w:proofErr w:type="spellEnd"/>
      <w:r>
        <w:rPr>
          <w:color w:val="1F1F1F"/>
        </w:rPr>
        <w:t xml:space="preserve">: 1. Making funds available to the needy; 2. Involving the giver in an </w:t>
      </w:r>
      <w:r w:rsidRPr="005213E5">
        <w:rPr>
          <w:b/>
          <w:bCs/>
          <w:color w:val="1F1F1F"/>
        </w:rPr>
        <w:t>act</w:t>
      </w:r>
      <w:r>
        <w:rPr>
          <w:color w:val="1F1F1F"/>
        </w:rPr>
        <w:t xml:space="preserve"> of generosity. At times, there is tension between the optimization of these gains. For example, because of #2, it is better to give small amounts of </w:t>
      </w:r>
      <w:proofErr w:type="spellStart"/>
      <w:r>
        <w:rPr>
          <w:i/>
          <w:iCs/>
          <w:color w:val="1F1F1F"/>
        </w:rPr>
        <w:t>tzedaka</w:t>
      </w:r>
      <w:proofErr w:type="spellEnd"/>
      <w:r>
        <w:rPr>
          <w:i/>
          <w:iCs/>
          <w:color w:val="1F1F1F"/>
        </w:rPr>
        <w:t xml:space="preserve"> </w:t>
      </w:r>
      <w:r>
        <w:rPr>
          <w:color w:val="1F1F1F"/>
        </w:rPr>
        <w:t xml:space="preserve">many times (Rambam to Avot 3:15), but this can be practically inefficient for organizations (see our attempt at a balanced approach in Living the Halachic Process II, F-3). We do not want to take a stand on the question of efficiency in giving small contributions to individual collectors who already traveled to your </w:t>
      </w:r>
      <w:r w:rsidRPr="00222A9C">
        <w:rPr>
          <w:i/>
          <w:iCs/>
          <w:color w:val="1F1F1F"/>
        </w:rPr>
        <w:t>shul</w:t>
      </w:r>
      <w:r>
        <w:rPr>
          <w:color w:val="1F1F1F"/>
        </w:rPr>
        <w:t xml:space="preserve"> (their major overhead), and the impact of the difficulty of </w:t>
      </w:r>
      <w:proofErr w:type="spellStart"/>
      <w:r>
        <w:rPr>
          <w:color w:val="1F1F1F"/>
        </w:rPr>
        <w:t>vetting</w:t>
      </w:r>
      <w:proofErr w:type="spellEnd"/>
      <w:r>
        <w:rPr>
          <w:color w:val="1F1F1F"/>
        </w:rPr>
        <w:t xml:space="preserve"> them. It is, though, both spiritually regrettable and halachically questionable to turn down a poor person without giving him a small donation (see Shulchan </w:t>
      </w:r>
      <w:proofErr w:type="spellStart"/>
      <w:r>
        <w:rPr>
          <w:color w:val="1F1F1F"/>
        </w:rPr>
        <w:t>Aruch</w:t>
      </w:r>
      <w:proofErr w:type="spellEnd"/>
      <w:r>
        <w:rPr>
          <w:color w:val="1F1F1F"/>
        </w:rPr>
        <w:t xml:space="preserve">, YD 247:1; Rama, YD 249:4). Your system is therefore understandable, balanced and common. </w:t>
      </w:r>
    </w:p>
    <w:p w14:paraId="41E64EC1" w14:textId="77777777" w:rsidR="00253653" w:rsidRDefault="00253653" w:rsidP="00253653">
      <w:pPr>
        <w:pStyle w:val="NormalWeb"/>
        <w:spacing w:before="0" w:beforeAutospacing="0" w:after="0" w:afterAutospacing="0"/>
        <w:ind w:firstLine="540"/>
        <w:rPr>
          <w:color w:val="1F1F1F"/>
        </w:rPr>
      </w:pPr>
      <w:r>
        <w:rPr>
          <w:color w:val="1F1F1F"/>
        </w:rPr>
        <w:t xml:space="preserve">The short answer to your question is that you may deduct what you give in </w:t>
      </w:r>
      <w:r>
        <w:rPr>
          <w:i/>
          <w:iCs/>
          <w:color w:val="1F1F1F"/>
        </w:rPr>
        <w:t xml:space="preserve">shul </w:t>
      </w:r>
      <w:r>
        <w:rPr>
          <w:color w:val="1F1F1F"/>
        </w:rPr>
        <w:t xml:space="preserve">from your </w:t>
      </w:r>
      <w:proofErr w:type="spellStart"/>
      <w:r>
        <w:rPr>
          <w:i/>
          <w:iCs/>
          <w:color w:val="1F1F1F"/>
        </w:rPr>
        <w:t>ma’aser</w:t>
      </w:r>
      <w:proofErr w:type="spellEnd"/>
      <w:r>
        <w:rPr>
          <w:i/>
          <w:iCs/>
          <w:color w:val="1F1F1F"/>
        </w:rPr>
        <w:t xml:space="preserve"> </w:t>
      </w:r>
      <w:r>
        <w:rPr>
          <w:color w:val="1F1F1F"/>
        </w:rPr>
        <w:t xml:space="preserve">ledger. </w:t>
      </w:r>
      <w:proofErr w:type="spellStart"/>
      <w:r>
        <w:rPr>
          <w:i/>
          <w:iCs/>
          <w:color w:val="1F1F1F"/>
        </w:rPr>
        <w:t>Tzedaka</w:t>
      </w:r>
      <w:proofErr w:type="spellEnd"/>
      <w:r>
        <w:rPr>
          <w:color w:val="1F1F1F"/>
        </w:rPr>
        <w:t xml:space="preserve"> is </w:t>
      </w:r>
      <w:proofErr w:type="spellStart"/>
      <w:r>
        <w:rPr>
          <w:i/>
          <w:iCs/>
          <w:color w:val="1F1F1F"/>
        </w:rPr>
        <w:t>tzedaka</w:t>
      </w:r>
      <w:proofErr w:type="spellEnd"/>
      <w:r>
        <w:rPr>
          <w:color w:val="1F1F1F"/>
        </w:rPr>
        <w:t xml:space="preserve">, whether it is to an organization or to an individual. Where there is a </w:t>
      </w:r>
      <w:proofErr w:type="spellStart"/>
      <w:r>
        <w:rPr>
          <w:i/>
          <w:iCs/>
          <w:color w:val="1F1F1F"/>
        </w:rPr>
        <w:t>machloket</w:t>
      </w:r>
      <w:proofErr w:type="spellEnd"/>
      <w:r>
        <w:rPr>
          <w:i/>
          <w:iCs/>
          <w:color w:val="1F1F1F"/>
        </w:rPr>
        <w:t xml:space="preserve"> </w:t>
      </w:r>
      <w:r>
        <w:rPr>
          <w:color w:val="1F1F1F"/>
        </w:rPr>
        <w:t xml:space="preserve">is whether the </w:t>
      </w:r>
      <w:proofErr w:type="spellStart"/>
      <w:r>
        <w:rPr>
          <w:i/>
          <w:iCs/>
          <w:color w:val="1F1F1F"/>
        </w:rPr>
        <w:t>tzedaka</w:t>
      </w:r>
      <w:proofErr w:type="spellEnd"/>
      <w:r>
        <w:rPr>
          <w:color w:val="1F1F1F"/>
        </w:rPr>
        <w:t xml:space="preserve"> you give when you have an empty </w:t>
      </w:r>
      <w:proofErr w:type="spellStart"/>
      <w:r>
        <w:rPr>
          <w:i/>
          <w:iCs/>
          <w:color w:val="1F1F1F"/>
        </w:rPr>
        <w:t>ma’aser</w:t>
      </w:r>
      <w:proofErr w:type="spellEnd"/>
      <w:r>
        <w:rPr>
          <w:i/>
          <w:iCs/>
          <w:color w:val="1F1F1F"/>
        </w:rPr>
        <w:t xml:space="preserve"> </w:t>
      </w:r>
      <w:r>
        <w:rPr>
          <w:color w:val="1F1F1F"/>
        </w:rPr>
        <w:t xml:space="preserve">account and obligation can later be deducted from future </w:t>
      </w:r>
      <w:proofErr w:type="spellStart"/>
      <w:r>
        <w:rPr>
          <w:i/>
          <w:iCs/>
          <w:color w:val="1F1F1F"/>
        </w:rPr>
        <w:t>ma’aser</w:t>
      </w:r>
      <w:proofErr w:type="spellEnd"/>
      <w:r>
        <w:rPr>
          <w:i/>
          <w:iCs/>
          <w:color w:val="1F1F1F"/>
        </w:rPr>
        <w:t xml:space="preserve"> </w:t>
      </w:r>
      <w:proofErr w:type="spellStart"/>
      <w:r>
        <w:rPr>
          <w:i/>
          <w:iCs/>
          <w:color w:val="1F1F1F"/>
        </w:rPr>
        <w:t>kesafim</w:t>
      </w:r>
      <w:proofErr w:type="spellEnd"/>
      <w:r>
        <w:rPr>
          <w:color w:val="1F1F1F"/>
        </w:rPr>
        <w:t xml:space="preserve"> (see </w:t>
      </w:r>
      <w:proofErr w:type="spellStart"/>
      <w:r>
        <w:rPr>
          <w:color w:val="1F1F1F"/>
        </w:rPr>
        <w:t>Ahavat</w:t>
      </w:r>
      <w:proofErr w:type="spellEnd"/>
      <w:r>
        <w:rPr>
          <w:color w:val="1F1F1F"/>
        </w:rPr>
        <w:t xml:space="preserve"> </w:t>
      </w:r>
      <w:proofErr w:type="spellStart"/>
      <w:r>
        <w:rPr>
          <w:color w:val="1F1F1F"/>
        </w:rPr>
        <w:t>Chesed</w:t>
      </w:r>
      <w:proofErr w:type="spellEnd"/>
      <w:r>
        <w:rPr>
          <w:color w:val="1F1F1F"/>
        </w:rPr>
        <w:t xml:space="preserve"> </w:t>
      </w:r>
      <w:proofErr w:type="gramStart"/>
      <w:r>
        <w:rPr>
          <w:color w:val="1F1F1F"/>
        </w:rPr>
        <w:t>II:18:2</w:t>
      </w:r>
      <w:proofErr w:type="gramEnd"/>
      <w:r>
        <w:rPr>
          <w:color w:val="1F1F1F"/>
        </w:rPr>
        <w:t>), and even there we are lenient (</w:t>
      </w:r>
      <w:proofErr w:type="spellStart"/>
      <w:r>
        <w:rPr>
          <w:color w:val="1F1F1F"/>
        </w:rPr>
        <w:t>Tzedaka</w:t>
      </w:r>
      <w:proofErr w:type="spellEnd"/>
      <w:r>
        <w:rPr>
          <w:color w:val="1F1F1F"/>
        </w:rPr>
        <w:t xml:space="preserve"> </w:t>
      </w:r>
      <w:proofErr w:type="spellStart"/>
      <w:r>
        <w:rPr>
          <w:color w:val="1F1F1F"/>
        </w:rPr>
        <w:t>U’mishpat</w:t>
      </w:r>
      <w:proofErr w:type="spellEnd"/>
      <w:r>
        <w:rPr>
          <w:color w:val="1F1F1F"/>
        </w:rPr>
        <w:t xml:space="preserve"> 5:11). But it is clear that if you have a </w:t>
      </w:r>
      <w:proofErr w:type="spellStart"/>
      <w:r>
        <w:rPr>
          <w:i/>
          <w:iCs/>
          <w:color w:val="1F1F1F"/>
        </w:rPr>
        <w:t>ma’aser</w:t>
      </w:r>
      <w:proofErr w:type="spellEnd"/>
      <w:r>
        <w:rPr>
          <w:i/>
          <w:iCs/>
          <w:color w:val="1F1F1F"/>
        </w:rPr>
        <w:t xml:space="preserve"> </w:t>
      </w:r>
      <w:r>
        <w:rPr>
          <w:color w:val="1F1F1F"/>
        </w:rPr>
        <w:t>“</w:t>
      </w:r>
      <w:proofErr w:type="spellStart"/>
      <w:r>
        <w:rPr>
          <w:i/>
          <w:iCs/>
          <w:color w:val="1F1F1F"/>
        </w:rPr>
        <w:t>pushka</w:t>
      </w:r>
      <w:proofErr w:type="spellEnd"/>
      <w:r>
        <w:rPr>
          <w:color w:val="1F1F1F"/>
        </w:rPr>
        <w:t xml:space="preserve">” at home and are approached by a collector on the street, you can give him “pocket money,” and then reimburse yourself from the </w:t>
      </w:r>
      <w:proofErr w:type="spellStart"/>
      <w:r>
        <w:rPr>
          <w:i/>
          <w:iCs/>
          <w:color w:val="1F1F1F"/>
        </w:rPr>
        <w:t>pushka</w:t>
      </w:r>
      <w:proofErr w:type="spellEnd"/>
      <w:r>
        <w:rPr>
          <w:color w:val="1F1F1F"/>
        </w:rPr>
        <w:t>.</w:t>
      </w:r>
      <w:r>
        <w:rPr>
          <w:i/>
          <w:iCs/>
          <w:color w:val="1F1F1F"/>
        </w:rPr>
        <w:t xml:space="preserve"> </w:t>
      </w:r>
      <w:r>
        <w:rPr>
          <w:color w:val="1F1F1F"/>
        </w:rPr>
        <w:t xml:space="preserve">In the same vein, you may write down the contributions and take out money from the </w:t>
      </w:r>
      <w:proofErr w:type="spellStart"/>
      <w:r>
        <w:rPr>
          <w:i/>
          <w:iCs/>
          <w:color w:val="1F1F1F"/>
        </w:rPr>
        <w:t>tzedaka</w:t>
      </w:r>
      <w:proofErr w:type="spellEnd"/>
      <w:r>
        <w:rPr>
          <w:color w:val="1F1F1F"/>
        </w:rPr>
        <w:t xml:space="preserve"> account or give less next time you replenish your account.</w:t>
      </w:r>
    </w:p>
    <w:p w14:paraId="3B680EB1" w14:textId="77777777" w:rsidR="00253653" w:rsidRDefault="00253653" w:rsidP="00253653">
      <w:pPr>
        <w:pStyle w:val="NormalWeb"/>
        <w:spacing w:before="0" w:beforeAutospacing="0" w:after="0" w:afterAutospacing="0"/>
        <w:ind w:firstLine="540"/>
        <w:rPr>
          <w:color w:val="1F1F1F"/>
        </w:rPr>
      </w:pPr>
      <w:r>
        <w:rPr>
          <w:color w:val="1F1F1F"/>
        </w:rPr>
        <w:t>The question is whether you should want to. There is a kabbalistic approach that it is better to give 10% than more than that (</w:t>
      </w:r>
      <w:proofErr w:type="spellStart"/>
      <w:r>
        <w:rPr>
          <w:color w:val="1F1F1F"/>
        </w:rPr>
        <w:t>Shiyarei</w:t>
      </w:r>
      <w:proofErr w:type="spellEnd"/>
      <w:r>
        <w:rPr>
          <w:color w:val="1F1F1F"/>
        </w:rPr>
        <w:t xml:space="preserve"> Knesset </w:t>
      </w:r>
      <w:proofErr w:type="spellStart"/>
      <w:r>
        <w:rPr>
          <w:color w:val="1F1F1F"/>
        </w:rPr>
        <w:t>Hagedola</w:t>
      </w:r>
      <w:proofErr w:type="spellEnd"/>
      <w:r>
        <w:rPr>
          <w:color w:val="1F1F1F"/>
        </w:rPr>
        <w:t>, Tur YD 249</w:t>
      </w:r>
      <w:r>
        <w:rPr>
          <w:rFonts w:hint="cs"/>
          <w:color w:val="1F1F1F"/>
          <w:rtl/>
        </w:rPr>
        <w:t>:</w:t>
      </w:r>
      <w:r>
        <w:rPr>
          <w:color w:val="1F1F1F"/>
        </w:rPr>
        <w:t xml:space="preserve">1). However, we clearly hold that giving more is laudable (see Shulchan </w:t>
      </w:r>
      <w:proofErr w:type="spellStart"/>
      <w:r>
        <w:rPr>
          <w:color w:val="1F1F1F"/>
        </w:rPr>
        <w:t>Aruch</w:t>
      </w:r>
      <w:proofErr w:type="spellEnd"/>
      <w:r>
        <w:rPr>
          <w:color w:val="1F1F1F"/>
        </w:rPr>
        <w:t xml:space="preserve">, YD 249:1). It therefore makes a lot of sense to use the bank account for the 10% and give as you determine appropriate beyond that (if you can afford it). This works well in countering a “problem” with the </w:t>
      </w:r>
      <w:proofErr w:type="spellStart"/>
      <w:r>
        <w:rPr>
          <w:i/>
          <w:iCs/>
          <w:color w:val="1F1F1F"/>
        </w:rPr>
        <w:t>ma’aser</w:t>
      </w:r>
      <w:proofErr w:type="spellEnd"/>
      <w:r>
        <w:rPr>
          <w:i/>
          <w:iCs/>
          <w:color w:val="1F1F1F"/>
        </w:rPr>
        <w:t xml:space="preserve"> </w:t>
      </w:r>
      <w:proofErr w:type="spellStart"/>
      <w:r>
        <w:rPr>
          <w:i/>
          <w:iCs/>
          <w:color w:val="1F1F1F"/>
        </w:rPr>
        <w:t>kesafim</w:t>
      </w:r>
      <w:proofErr w:type="spellEnd"/>
      <w:r>
        <w:rPr>
          <w:color w:val="1F1F1F"/>
        </w:rPr>
        <w:t xml:space="preserve">” system – it “only” requires discipline to calculate and take off the money. However, the actual donations to not include generosity – one gives to Reuven not from his own pocket but by depleting available funds earmarked for the community of the needy. </w:t>
      </w:r>
      <w:proofErr w:type="gramStart"/>
      <w:r>
        <w:rPr>
          <w:color w:val="1F1F1F"/>
        </w:rPr>
        <w:t>This compromises</w:t>
      </w:r>
      <w:proofErr w:type="gramEnd"/>
      <w:r>
        <w:rPr>
          <w:color w:val="1F1F1F"/>
        </w:rPr>
        <w:t xml:space="preserve"> gain #2 above. If for certain contributions you make you do not seek reimbursement from the </w:t>
      </w:r>
      <w:proofErr w:type="spellStart"/>
      <w:r>
        <w:rPr>
          <w:i/>
          <w:iCs/>
          <w:color w:val="1F1F1F"/>
        </w:rPr>
        <w:t>ma’aser</w:t>
      </w:r>
      <w:proofErr w:type="spellEnd"/>
      <w:r>
        <w:rPr>
          <w:i/>
          <w:iCs/>
          <w:color w:val="1F1F1F"/>
        </w:rPr>
        <w:t xml:space="preserve"> </w:t>
      </w:r>
      <w:r>
        <w:rPr>
          <w:color w:val="1F1F1F"/>
        </w:rPr>
        <w:t xml:space="preserve">ledger, those actions (which can be many in certain </w:t>
      </w:r>
      <w:r w:rsidRPr="004522B3">
        <w:rPr>
          <w:i/>
          <w:iCs/>
          <w:color w:val="1F1F1F"/>
        </w:rPr>
        <w:t>shuls</w:t>
      </w:r>
      <w:r>
        <w:rPr>
          <w:color w:val="1F1F1F"/>
        </w:rPr>
        <w:t xml:space="preserve">) is a better fulfillment of the Rambam’s multiple small contributions idea. </w:t>
      </w:r>
    </w:p>
    <w:p w14:paraId="22086835" w14:textId="77777777" w:rsidR="00253653" w:rsidRPr="00052710" w:rsidRDefault="00253653" w:rsidP="00253653">
      <w:pPr>
        <w:pStyle w:val="NormalWeb"/>
        <w:spacing w:before="0" w:beforeAutospacing="0" w:after="0" w:afterAutospacing="0"/>
        <w:ind w:firstLine="540"/>
        <w:rPr>
          <w:i/>
          <w:iCs/>
        </w:rPr>
      </w:pPr>
      <w:r>
        <w:rPr>
          <w:color w:val="1F1F1F"/>
        </w:rPr>
        <w:t xml:space="preserve">This is not to criticize the pure </w:t>
      </w:r>
      <w:proofErr w:type="spellStart"/>
      <w:r>
        <w:rPr>
          <w:i/>
          <w:iCs/>
          <w:color w:val="1F1F1F"/>
        </w:rPr>
        <w:t>ma’aser</w:t>
      </w:r>
      <w:proofErr w:type="spellEnd"/>
      <w:r>
        <w:rPr>
          <w:i/>
          <w:iCs/>
          <w:color w:val="1F1F1F"/>
        </w:rPr>
        <w:t xml:space="preserve"> </w:t>
      </w:r>
      <w:r>
        <w:rPr>
          <w:color w:val="1F1F1F"/>
        </w:rPr>
        <w:t xml:space="preserve">system, which in most cases, probably has caused its followers to give more than they otherwise would have (we cannot prove this contention). It is true that indications are that the regular use of such an accounting was not prevalent in Talmudic times (see </w:t>
      </w:r>
      <w:proofErr w:type="spellStart"/>
      <w:r>
        <w:rPr>
          <w:color w:val="1F1F1F"/>
        </w:rPr>
        <w:t>Tosafot</w:t>
      </w:r>
      <w:proofErr w:type="spellEnd"/>
      <w:r>
        <w:rPr>
          <w:color w:val="1F1F1F"/>
        </w:rPr>
        <w:t xml:space="preserve">, </w:t>
      </w:r>
      <w:proofErr w:type="spellStart"/>
      <w:r>
        <w:rPr>
          <w:color w:val="1F1F1F"/>
        </w:rPr>
        <w:t>Ta’anit</w:t>
      </w:r>
      <w:proofErr w:type="spellEnd"/>
      <w:r>
        <w:rPr>
          <w:color w:val="1F1F1F"/>
        </w:rPr>
        <w:t xml:space="preserve"> 9a; </w:t>
      </w:r>
      <w:proofErr w:type="spellStart"/>
      <w:r>
        <w:rPr>
          <w:color w:val="1F1F1F"/>
        </w:rPr>
        <w:t>Bava</w:t>
      </w:r>
      <w:proofErr w:type="spellEnd"/>
      <w:r>
        <w:rPr>
          <w:color w:val="1F1F1F"/>
        </w:rPr>
        <w:t xml:space="preserve"> Kama 56b; I cannot explain further in this forum). However, there was an analogous system that was prevalent in Talmudic times – an enforced appraisal by the local </w:t>
      </w:r>
      <w:proofErr w:type="spellStart"/>
      <w:r>
        <w:rPr>
          <w:i/>
          <w:iCs/>
          <w:color w:val="1F1F1F"/>
        </w:rPr>
        <w:t>tzedaka</w:t>
      </w:r>
      <w:proofErr w:type="spellEnd"/>
      <w:r>
        <w:rPr>
          <w:i/>
          <w:iCs/>
          <w:color w:val="1F1F1F"/>
        </w:rPr>
        <w:t xml:space="preserve"> </w:t>
      </w:r>
      <w:r>
        <w:rPr>
          <w:color w:val="1F1F1F"/>
        </w:rPr>
        <w:t xml:space="preserve">committee (see </w:t>
      </w:r>
      <w:proofErr w:type="spellStart"/>
      <w:r>
        <w:rPr>
          <w:color w:val="1F1F1F"/>
        </w:rPr>
        <w:t>Bava</w:t>
      </w:r>
      <w:proofErr w:type="spellEnd"/>
      <w:r>
        <w:rPr>
          <w:color w:val="1F1F1F"/>
        </w:rPr>
        <w:t xml:space="preserve"> Batra </w:t>
      </w:r>
      <w:r>
        <w:rPr>
          <w:rFonts w:hint="cs"/>
          <w:color w:val="1F1F1F"/>
          <w:rtl/>
        </w:rPr>
        <w:t>8</w:t>
      </w:r>
      <w:r>
        <w:rPr>
          <w:color w:val="1F1F1F"/>
        </w:rPr>
        <w:t xml:space="preserve">b), after which people were not expected to give additional </w:t>
      </w:r>
      <w:proofErr w:type="spellStart"/>
      <w:r>
        <w:rPr>
          <w:i/>
          <w:iCs/>
          <w:color w:val="1F1F1F"/>
        </w:rPr>
        <w:t>tzedaka</w:t>
      </w:r>
      <w:proofErr w:type="spellEnd"/>
      <w:r>
        <w:rPr>
          <w:i/>
          <w:iCs/>
          <w:color w:val="1F1F1F"/>
        </w:rPr>
        <w:t xml:space="preserve"> </w:t>
      </w:r>
      <w:r>
        <w:rPr>
          <w:color w:val="1F1F1F"/>
        </w:rPr>
        <w:t>(see ibid. 43a). Apparently, while that system limited flexing the generosity muscles, it helped keep the poor of many communities alive and reasonably taken care of.</w:t>
      </w:r>
    </w:p>
    <w:p w14:paraId="797BFA1F" w14:textId="21715DC5" w:rsidR="00610395" w:rsidRDefault="00610395" w:rsidP="00610395">
      <w:pPr>
        <w:bidi w:val="0"/>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367753"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02062035" w14:textId="1B0FEDF8" w:rsidR="001D2511" w:rsidRDefault="004848C0" w:rsidP="00D201E2">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77B60076"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F43A9D">
      <w:pPr>
        <w:bidi w:val="0"/>
        <w:jc w:val="center"/>
        <w:rPr>
          <w:b/>
          <w:bCs/>
          <w:color w:val="002060"/>
          <w:sz w:val="28"/>
          <w:szCs w:val="28"/>
        </w:rPr>
      </w:pPr>
    </w:p>
    <w:p w14:paraId="361F6BB8" w14:textId="77777777" w:rsidR="00EA780E" w:rsidRPr="00466190" w:rsidRDefault="00EA780E" w:rsidP="00EA780E">
      <w:pPr>
        <w:bidi w:val="0"/>
        <w:rPr>
          <w:b/>
          <w:bCs/>
          <w:color w:val="D85640"/>
          <w:sz w:val="28"/>
          <w:szCs w:val="28"/>
        </w:rPr>
      </w:pPr>
      <w:r>
        <w:rPr>
          <w:b/>
          <w:bCs/>
          <w:color w:val="D85640"/>
          <w:sz w:val="28"/>
          <w:szCs w:val="28"/>
        </w:rPr>
        <w:t>I Will Bring You Back Up – part I</w:t>
      </w:r>
    </w:p>
    <w:p w14:paraId="6E744CCE" w14:textId="77777777" w:rsidR="00EA780E" w:rsidRPr="00466190" w:rsidRDefault="00EA780E" w:rsidP="00EA780E">
      <w:pPr>
        <w:bidi w:val="0"/>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 </w:t>
      </w:r>
      <w:r>
        <w:t xml:space="preserve">371 (address at a symposium for communal leaders at the </w:t>
      </w:r>
      <w:proofErr w:type="spellStart"/>
      <w:r>
        <w:t>Ramban</w:t>
      </w:r>
      <w:proofErr w:type="spellEnd"/>
      <w:r>
        <w:t xml:space="preserve"> Shul, 5768)</w:t>
      </w:r>
    </w:p>
    <w:p w14:paraId="7EB3684D" w14:textId="77777777" w:rsidR="00EA780E" w:rsidRDefault="00EA780E" w:rsidP="00EA780E">
      <w:pPr>
        <w:bidi w:val="0"/>
        <w:ind w:firstLine="360"/>
      </w:pPr>
    </w:p>
    <w:p w14:paraId="43B560B6" w14:textId="77777777" w:rsidR="00EA780E" w:rsidRDefault="00EA780E" w:rsidP="00EA780E">
      <w:pPr>
        <w:bidi w:val="0"/>
        <w:ind w:firstLine="360"/>
      </w:pPr>
      <w:r>
        <w:t>This past Elul was the 700</w:t>
      </w:r>
      <w:r w:rsidRPr="00706D42">
        <w:rPr>
          <w:vertAlign w:val="superscript"/>
        </w:rPr>
        <w:t>th</w:t>
      </w:r>
      <w:r>
        <w:t xml:space="preserve"> anniversary of our master, the </w:t>
      </w:r>
      <w:proofErr w:type="spellStart"/>
      <w:r>
        <w:t>Ramban's</w:t>
      </w:r>
      <w:proofErr w:type="spellEnd"/>
      <w:r>
        <w:t xml:space="preserve"> (</w:t>
      </w:r>
      <w:proofErr w:type="spellStart"/>
      <w:r>
        <w:t>Nachmanides</w:t>
      </w:r>
      <w:proofErr w:type="spellEnd"/>
      <w:r>
        <w:t xml:space="preserve">) arrival at Jerusalem’s gateways to cherish her soil, cry over her desolation, and reawaken the effort to rebuild her, as the </w:t>
      </w:r>
      <w:proofErr w:type="spellStart"/>
      <w:r>
        <w:t>Ramban</w:t>
      </w:r>
      <w:proofErr w:type="spellEnd"/>
      <w:r>
        <w:t xml:space="preserve"> said:</w:t>
      </w:r>
    </w:p>
    <w:p w14:paraId="204C0102" w14:textId="77777777" w:rsidR="00EA780E" w:rsidRDefault="00EA780E" w:rsidP="00EA780E">
      <w:pPr>
        <w:bidi w:val="0"/>
        <w:ind w:firstLine="360"/>
      </w:pPr>
      <w:r>
        <w:t>“I came to the destroyed city; it is desolate, without its children, and I appropriately mourned: ‘Zion became a wilderness, Jerusalem a desolation’ (Yeshayahu 64:9). When I was near the city, opposite its gateway, I ripped my clothes over her. And when I came opposite the great and holy House, we called out with great wailing: ‘Our father, the merciful father, Israel is neither an orphan nor a widower, for Your mercy is upon them in every place and at every moment.’”</w:t>
      </w:r>
    </w:p>
    <w:p w14:paraId="1ECF69DE" w14:textId="77777777" w:rsidR="00EA780E" w:rsidRDefault="00EA780E" w:rsidP="00EA780E">
      <w:pPr>
        <w:bidi w:val="0"/>
        <w:ind w:firstLine="360"/>
      </w:pPr>
      <w:r>
        <w:t xml:space="preserve">Subsequently, he established the first </w:t>
      </w:r>
      <w:r>
        <w:rPr>
          <w:i/>
          <w:iCs/>
        </w:rPr>
        <w:t>shul</w:t>
      </w:r>
      <w:r>
        <w:t xml:space="preserve"> in Jerusalem in which both Sephardim and Ashkenazim prayed, and boldly urged to return and claim the Land we inherited from our forefathers. </w:t>
      </w:r>
    </w:p>
    <w:p w14:paraId="161D2FB6" w14:textId="77777777" w:rsidR="00EA780E" w:rsidRDefault="00EA780E" w:rsidP="00EA780E">
      <w:pPr>
        <w:bidi w:val="0"/>
        <w:ind w:firstLine="360"/>
      </w:pPr>
      <w:r>
        <w:t xml:space="preserve">He left his home and his family in Spain and moved to </w:t>
      </w:r>
      <w:r>
        <w:rPr>
          <w:i/>
          <w:iCs/>
        </w:rPr>
        <w:t>Eretz Yisrael</w:t>
      </w:r>
      <w:r>
        <w:t xml:space="preserve"> not only due to his churning heart and emotional yearnings. It is also due to a binding halachic obligation, which he established as an unmovable “stake in the ground.” He expresses this idea in his comments on the Rambam’s Book of </w:t>
      </w:r>
      <w:r>
        <w:rPr>
          <w:i/>
          <w:iCs/>
        </w:rPr>
        <w:t>Mitzvot</w:t>
      </w:r>
      <w:r>
        <w:t xml:space="preserve"> (omitted positive </w:t>
      </w:r>
      <w:r>
        <w:rPr>
          <w:i/>
          <w:iCs/>
        </w:rPr>
        <w:t>mitzva</w:t>
      </w:r>
      <w:r>
        <w:t xml:space="preserve"> #4): </w:t>
      </w:r>
    </w:p>
    <w:p w14:paraId="78BC0639" w14:textId="77777777" w:rsidR="00EA780E" w:rsidRDefault="00EA780E" w:rsidP="00EA780E">
      <w:pPr>
        <w:bidi w:val="0"/>
        <w:ind w:firstLine="360"/>
      </w:pPr>
      <w:r>
        <w:t>“… we were commanded to possess the Land that Hashem gave our fathers, Avraham, Yitzchak, and Yaakov, and not leave it in the hands of any nation but us or to desolation … It is a positive commandment for all generations, obligating everyone, even in the time of exile.”</w:t>
      </w:r>
    </w:p>
    <w:p w14:paraId="60479FE2" w14:textId="77777777" w:rsidR="00EA780E" w:rsidRDefault="00EA780E" w:rsidP="00EA780E">
      <w:pPr>
        <w:bidi w:val="0"/>
        <w:ind w:firstLine="360"/>
      </w:pPr>
      <w:r>
        <w:t xml:space="preserve">With these words he built the halachic foundation, and his actions provided a personal example. From that point, the Jewish settlement of </w:t>
      </w:r>
      <w:r>
        <w:rPr>
          <w:i/>
          <w:iCs/>
        </w:rPr>
        <w:t>Eretz Yisrael</w:t>
      </w:r>
      <w:r>
        <w:t xml:space="preserve"> progressively grew and broadened from generation to generation and era to era. The longings for Zion “</w:t>
      </w:r>
      <w:r w:rsidRPr="00220CB2">
        <w:t>t</w:t>
      </w:r>
      <w:r>
        <w:t xml:space="preserve">ook </w:t>
      </w:r>
      <w:r w:rsidRPr="00220CB2">
        <w:t>on flesh and skin</w:t>
      </w:r>
      <w:r>
        <w:t xml:space="preserve">,” and there has been a real push to fulfill this </w:t>
      </w:r>
      <w:r>
        <w:rPr>
          <w:i/>
          <w:iCs/>
        </w:rPr>
        <w:t>mitzva</w:t>
      </w:r>
      <w:r>
        <w:t xml:space="preserve"> with one’s fullest dedication of self and resources. D</w:t>
      </w:r>
      <w:r w:rsidRPr="00354A42">
        <w:t>riven by his direct strength and its enduring ripple effects</w:t>
      </w:r>
      <w:r>
        <w:t xml:space="preserve">, pious and dynamic idealists were drawn to </w:t>
      </w:r>
      <w:r>
        <w:rPr>
          <w:i/>
          <w:iCs/>
        </w:rPr>
        <w:t>Eretz Yisrael</w:t>
      </w:r>
      <w:r>
        <w:t xml:space="preserve">. Permanent Jewish population centers were established and maintained in four areas of the Holy Land – </w:t>
      </w:r>
      <w:proofErr w:type="spellStart"/>
      <w:r>
        <w:t>Yerushalayim</w:t>
      </w:r>
      <w:proofErr w:type="spellEnd"/>
      <w:r>
        <w:t xml:space="preserve">, Tzfat, </w:t>
      </w:r>
      <w:proofErr w:type="spellStart"/>
      <w:r>
        <w:t>Teveria</w:t>
      </w:r>
      <w:proofErr w:type="spellEnd"/>
      <w:r>
        <w:t xml:space="preserve">, and Chevron. They inspired the pre-Herzl religious Zionist movement, which led to the developments of the hundred years leading to the establishment of the State of Israel and the wondrous phenomenon of standing by the gates and expanded boundaries of the Six Day War. </w:t>
      </w:r>
    </w:p>
    <w:p w14:paraId="36CD7F96" w14:textId="77777777" w:rsidR="00EA780E" w:rsidRDefault="00EA780E" w:rsidP="00EA780E">
      <w:pPr>
        <w:bidi w:val="0"/>
        <w:ind w:firstLine="360"/>
      </w:pPr>
      <w:r>
        <w:t xml:space="preserve">Now that we have merited to join together in this place, with representatives of </w:t>
      </w:r>
      <w:proofErr w:type="spellStart"/>
      <w:r>
        <w:rPr>
          <w:i/>
          <w:iCs/>
        </w:rPr>
        <w:t>batei</w:t>
      </w:r>
      <w:proofErr w:type="spellEnd"/>
      <w:r>
        <w:rPr>
          <w:i/>
          <w:iCs/>
        </w:rPr>
        <w:t xml:space="preserve"> </w:t>
      </w:r>
      <w:proofErr w:type="spellStart"/>
      <w:r>
        <w:rPr>
          <w:i/>
          <w:iCs/>
        </w:rPr>
        <w:t>knesset</w:t>
      </w:r>
      <w:proofErr w:type="spellEnd"/>
      <w:r>
        <w:t xml:space="preserve"> and religious activists from all the corners of the globe, we can express our feelings with these words: “Our feet were standing in your gateways, Jerusalem” (</w:t>
      </w:r>
      <w:proofErr w:type="spellStart"/>
      <w:r>
        <w:t>Tehillim</w:t>
      </w:r>
      <w:proofErr w:type="spellEnd"/>
      <w:r>
        <w:t xml:space="preserve"> 122:2). It is the House of Hashem, the gateway to Heaven, Mt. Moriah, from which Torah and wisdom emerge; it is the “mountain that Hashem desired to inhabit” (see </w:t>
      </w:r>
      <w:proofErr w:type="spellStart"/>
      <w:r>
        <w:t>Tehillim</w:t>
      </w:r>
      <w:proofErr w:type="spellEnd"/>
      <w:r>
        <w:t xml:space="preserve"> 68:17) and built there the House of His resting. </w:t>
      </w:r>
    </w:p>
    <w:p w14:paraId="04A47935" w14:textId="77777777" w:rsidR="00EA780E" w:rsidRDefault="00EA780E" w:rsidP="00EA780E">
      <w:pPr>
        <w:bidi w:val="0"/>
        <w:ind w:firstLine="360"/>
      </w:pPr>
      <w:r>
        <w:t xml:space="preserve">Let us raise the memory of the father of the Jewish settlement of </w:t>
      </w:r>
      <w:r>
        <w:rPr>
          <w:i/>
          <w:iCs/>
        </w:rPr>
        <w:t>Eretz Yisrael</w:t>
      </w:r>
      <w:r>
        <w:t xml:space="preserve">, our master and teacher, the </w:t>
      </w:r>
      <w:proofErr w:type="spellStart"/>
      <w:r>
        <w:t>Ramban</w:t>
      </w:r>
      <w:proofErr w:type="spellEnd"/>
      <w:r>
        <w:t xml:space="preserve"> </w:t>
      </w:r>
      <w:proofErr w:type="spellStart"/>
      <w:proofErr w:type="gramStart"/>
      <w:r w:rsidRPr="00630892">
        <w:rPr>
          <w:i/>
          <w:iCs/>
        </w:rPr>
        <w:t>zt”l</w:t>
      </w:r>
      <w:proofErr w:type="spellEnd"/>
      <w:proofErr w:type="gramEnd"/>
      <w:r>
        <w:rPr>
          <w:i/>
          <w:iCs/>
        </w:rPr>
        <w:t xml:space="preserve"> </w:t>
      </w:r>
      <w:r w:rsidRPr="00630892">
        <w:t>and</w:t>
      </w:r>
      <w:r>
        <w:rPr>
          <w:i/>
          <w:iCs/>
        </w:rPr>
        <w:t xml:space="preserve"> </w:t>
      </w:r>
      <w:r>
        <w:t xml:space="preserve">firmly accept to follow his path. </w:t>
      </w:r>
    </w:p>
    <w:p w14:paraId="34CAA652" w14:textId="77777777" w:rsidR="00EA780E" w:rsidRDefault="00EA780E" w:rsidP="00EA780E">
      <w:pPr>
        <w:bidi w:val="0"/>
        <w:ind w:firstLine="360"/>
      </w:pPr>
      <w:r>
        <w:t xml:space="preserve">This obligation to possess the Land, which the </w:t>
      </w:r>
      <w:proofErr w:type="spellStart"/>
      <w:r>
        <w:t>Ramban</w:t>
      </w:r>
      <w:proofErr w:type="spellEnd"/>
      <w:r>
        <w:t xml:space="preserve"> posited devolves on each person, as a positive commandment for all generations, takes on special significance in relation to communal leaders, including lay leadership of synagogues and study halls throughout the world. </w:t>
      </w:r>
    </w:p>
    <w:p w14:paraId="5D5B56E1" w14:textId="77777777" w:rsidR="00EA780E" w:rsidRDefault="00EA780E" w:rsidP="00EA780E">
      <w:pPr>
        <w:bidi w:val="0"/>
        <w:ind w:firstLine="360"/>
      </w:pPr>
      <w:r>
        <w:t xml:space="preserve">Let us analyze the section from the </w:t>
      </w:r>
      <w:proofErr w:type="spellStart"/>
      <w:r>
        <w:rPr>
          <w:i/>
          <w:iCs/>
        </w:rPr>
        <w:t>parasha</w:t>
      </w:r>
      <w:proofErr w:type="spellEnd"/>
      <w:r>
        <w:t xml:space="preserve"> we just read. Hashem said to our patriarch Yaakov: “Do not fear going down to Egypt … I will go with you to Egypt and will bring you up, and Yosef will place his hands over your eyes” (</w:t>
      </w:r>
      <w:proofErr w:type="spellStart"/>
      <w:r>
        <w:t>Bereishit</w:t>
      </w:r>
      <w:proofErr w:type="spellEnd"/>
      <w:r>
        <w:t xml:space="preserve"> 46:3-4). Israel did not enter exile alone, as the Divine Presence accompanied them into each place of exile (</w:t>
      </w:r>
      <w:proofErr w:type="spellStart"/>
      <w:r>
        <w:t>Megilla</w:t>
      </w:r>
      <w:proofErr w:type="spellEnd"/>
      <w:r>
        <w:t xml:space="preserve"> 29a). The </w:t>
      </w:r>
      <w:proofErr w:type="spellStart"/>
      <w:r>
        <w:rPr>
          <w:i/>
          <w:iCs/>
        </w:rPr>
        <w:t>gemara</w:t>
      </w:r>
      <w:proofErr w:type="spellEnd"/>
      <w:r>
        <w:t xml:space="preserve"> continues with the question of where one can find the Divine Presence outside </w:t>
      </w:r>
      <w:r>
        <w:rPr>
          <w:i/>
          <w:iCs/>
        </w:rPr>
        <w:t>Eretz Yisrael</w:t>
      </w:r>
      <w:r>
        <w:t xml:space="preserve">. It mentions two specific </w:t>
      </w:r>
      <w:proofErr w:type="spellStart"/>
      <w:r>
        <w:rPr>
          <w:i/>
          <w:iCs/>
        </w:rPr>
        <w:t>batei</w:t>
      </w:r>
      <w:proofErr w:type="spellEnd"/>
      <w:r>
        <w:rPr>
          <w:i/>
          <w:iCs/>
        </w:rPr>
        <w:t xml:space="preserve"> </w:t>
      </w:r>
      <w:proofErr w:type="spellStart"/>
      <w:r>
        <w:rPr>
          <w:i/>
          <w:iCs/>
        </w:rPr>
        <w:t>knesset</w:t>
      </w:r>
      <w:proofErr w:type="spellEnd"/>
      <w:r>
        <w:t xml:space="preserve"> in </w:t>
      </w:r>
      <w:proofErr w:type="spellStart"/>
      <w:r>
        <w:t>Bavel</w:t>
      </w:r>
      <w:proofErr w:type="spellEnd"/>
      <w:r>
        <w:t xml:space="preserve">. </w:t>
      </w:r>
      <w:proofErr w:type="spellStart"/>
      <w:r>
        <w:t>Rashi</w:t>
      </w:r>
      <w:proofErr w:type="spellEnd"/>
      <w:r>
        <w:t xml:space="preserve"> (ad loc.) explains that </w:t>
      </w:r>
      <w:proofErr w:type="spellStart"/>
      <w:r>
        <w:t>Yechanya</w:t>
      </w:r>
      <w:proofErr w:type="spellEnd"/>
      <w:r>
        <w:t xml:space="preserve"> built them with the earth and stones he brought into the exile, based on the </w:t>
      </w:r>
      <w:proofErr w:type="spellStart"/>
      <w:r>
        <w:rPr>
          <w:i/>
          <w:iCs/>
        </w:rPr>
        <w:t>pasuk</w:t>
      </w:r>
      <w:proofErr w:type="spellEnd"/>
      <w:r>
        <w:t>, “For His servants wanted her stones and desired her earth” (</w:t>
      </w:r>
      <w:proofErr w:type="spellStart"/>
      <w:r>
        <w:t>Tehillim</w:t>
      </w:r>
      <w:proofErr w:type="spellEnd"/>
      <w:r>
        <w:t xml:space="preserve"> 102:15). </w:t>
      </w:r>
    </w:p>
    <w:p w14:paraId="1420CD55" w14:textId="77777777" w:rsidR="00EA780E" w:rsidRPr="00CA2FD0" w:rsidRDefault="00EA780E" w:rsidP="00EA780E">
      <w:pPr>
        <w:ind w:firstLine="360"/>
        <w:jc w:val="center"/>
        <w:rPr>
          <w:i/>
          <w:iCs/>
        </w:rPr>
      </w:pPr>
      <w:r>
        <w:rPr>
          <w:i/>
          <w:iCs/>
        </w:rPr>
        <w:t xml:space="preserve">We continue next time. </w:t>
      </w:r>
    </w:p>
    <w:p w14:paraId="0909E91E" w14:textId="5C40CEFB" w:rsidR="00D3307B" w:rsidRDefault="00D3307B" w:rsidP="00D3307B">
      <w:pPr>
        <w:bidi w:val="0"/>
        <w:spacing w:line="276" w:lineRule="auto"/>
        <w:ind w:firstLine="360"/>
        <w:rPr>
          <w:i/>
          <w:iCs/>
        </w:rPr>
      </w:pPr>
    </w:p>
    <w:p w14:paraId="3D515E08" w14:textId="77777777" w:rsidR="00D3307B" w:rsidRDefault="00D3307B" w:rsidP="00D3307B">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91337E" w14:textId="7A4303E3" w:rsidR="00D3307B" w:rsidRPr="00D3307B" w:rsidRDefault="00D3307B" w:rsidP="00D3307B">
      <w:pPr>
        <w:pStyle w:val="Heading2"/>
        <w:bidi w:val="0"/>
        <w:spacing w:before="0" w:after="0"/>
        <w:contextualSpacing/>
        <w:mirrorIndents/>
        <w:jc w:val="both"/>
        <w:rPr>
          <w:i w:val="0"/>
          <w:iCs w:val="0"/>
          <w:sz w:val="20"/>
        </w:rPr>
      </w:pPr>
      <w:r w:rsidRPr="00D3307B">
        <w:rPr>
          <w:i w:val="0"/>
          <w:iCs w:val="0"/>
          <w:color w:val="D85640"/>
        </w:rPr>
        <w:t>Regulation of Land Rights in a Settlement Extension – part I</w:t>
      </w:r>
      <w:r w:rsidR="00367753">
        <w:rPr>
          <w:i w:val="0"/>
          <w:iCs w:val="0"/>
          <w:color w:val="D85640"/>
        </w:rPr>
        <w:t>V</w:t>
      </w:r>
      <w:r w:rsidRPr="00D3307B">
        <w:rPr>
          <w:i w:val="0"/>
          <w:iCs w:val="0"/>
          <w:sz w:val="20"/>
        </w:rPr>
        <w:t xml:space="preserve"> </w:t>
      </w:r>
    </w:p>
    <w:p w14:paraId="5E7159C4" w14:textId="77777777" w:rsidR="00D3307B" w:rsidRPr="00D3307B" w:rsidRDefault="00D3307B" w:rsidP="00D3307B">
      <w:pPr>
        <w:pStyle w:val="Heading2"/>
        <w:bidi w:val="0"/>
        <w:spacing w:before="0" w:after="0"/>
        <w:contextualSpacing/>
        <w:mirrorIndents/>
        <w:jc w:val="both"/>
        <w:rPr>
          <w:b w:val="0"/>
          <w:bCs w:val="0"/>
          <w:i w:val="0"/>
          <w:iCs w:val="0"/>
          <w:sz w:val="22"/>
          <w:szCs w:val="18"/>
        </w:rPr>
      </w:pPr>
      <w:r w:rsidRPr="00D3307B">
        <w:rPr>
          <w:b w:val="0"/>
          <w:bCs w:val="0"/>
          <w:i w:val="0"/>
          <w:iCs w:val="0"/>
          <w:sz w:val="20"/>
        </w:rPr>
        <w:t>(</w:t>
      </w:r>
      <w:proofErr w:type="gramStart"/>
      <w:r w:rsidRPr="00D3307B">
        <w:rPr>
          <w:b w:val="0"/>
          <w:bCs w:val="0"/>
          <w:i w:val="0"/>
          <w:iCs w:val="0"/>
          <w:sz w:val="20"/>
        </w:rPr>
        <w:t>based</w:t>
      </w:r>
      <w:proofErr w:type="gramEnd"/>
      <w:r w:rsidRPr="00D3307B">
        <w:rPr>
          <w:b w:val="0"/>
          <w:bCs w:val="0"/>
          <w:i w:val="0"/>
          <w:iCs w:val="0"/>
          <w:sz w:val="20"/>
        </w:rPr>
        <w:t xml:space="preserve"> on ruling 84019 of the Eretz Hemdah-</w:t>
      </w:r>
      <w:proofErr w:type="spellStart"/>
      <w:r w:rsidRPr="00D3307B">
        <w:rPr>
          <w:b w:val="0"/>
          <w:bCs w:val="0"/>
          <w:i w:val="0"/>
          <w:iCs w:val="0"/>
          <w:sz w:val="20"/>
        </w:rPr>
        <w:t>Gazit</w:t>
      </w:r>
      <w:proofErr w:type="spellEnd"/>
      <w:r w:rsidRPr="00D3307B">
        <w:rPr>
          <w:b w:val="0"/>
          <w:bCs w:val="0"/>
          <w:i w:val="0"/>
          <w:iCs w:val="0"/>
          <w:sz w:val="20"/>
        </w:rPr>
        <w:t xml:space="preserve"> Rabbinical Courts)</w:t>
      </w:r>
    </w:p>
    <w:p w14:paraId="3D8D8ABF" w14:textId="77777777" w:rsidR="00D3307B" w:rsidRPr="006C633B" w:rsidRDefault="00D3307B" w:rsidP="00D3307B">
      <w:pPr>
        <w:bidi w:val="0"/>
        <w:jc w:val="both"/>
        <w:rPr>
          <w:sz w:val="24"/>
        </w:rPr>
      </w:pPr>
    </w:p>
    <w:p w14:paraId="7EC93DC5" w14:textId="77777777" w:rsidR="00367753" w:rsidRPr="006C633B" w:rsidRDefault="00367753" w:rsidP="00367753">
      <w:pPr>
        <w:jc w:val="both"/>
        <w:rPr>
          <w:rFonts w:hint="cs"/>
          <w:sz w:val="24"/>
        </w:rPr>
      </w:pPr>
    </w:p>
    <w:p w14:paraId="0953A7A7" w14:textId="77777777" w:rsidR="00367753" w:rsidRPr="008B3BE2" w:rsidRDefault="00367753" w:rsidP="00367753">
      <w:pPr>
        <w:bidi w:val="0"/>
      </w:pPr>
      <w:r w:rsidRPr="0024039C">
        <w:rPr>
          <w:b/>
          <w:bCs/>
          <w:color w:val="D85640"/>
          <w:sz w:val="24"/>
          <w:u w:val="single"/>
        </w:rPr>
        <w:t>Case</w:t>
      </w:r>
      <w:r w:rsidRPr="0024039C">
        <w:rPr>
          <w:b/>
          <w:bCs/>
          <w:color w:val="D85640"/>
          <w:sz w:val="24"/>
        </w:rPr>
        <w:t>:</w:t>
      </w:r>
      <w:r>
        <w:t xml:space="preserve"> The plaintiffs (=</w:t>
      </w:r>
      <w:r>
        <w:rPr>
          <w:i/>
          <w:iCs/>
        </w:rPr>
        <w:t>pl</w:t>
      </w:r>
      <w:r>
        <w:t>) used to live in an unrecognized settlement extension (=</w:t>
      </w:r>
      <w:r>
        <w:rPr>
          <w:i/>
          <w:iCs/>
        </w:rPr>
        <w:t>SE</w:t>
      </w:r>
      <w:r>
        <w:t xml:space="preserve">), left </w:t>
      </w:r>
      <w:r>
        <w:rPr>
          <w:i/>
          <w:iCs/>
        </w:rPr>
        <w:t>SE</w:t>
      </w:r>
      <w:r>
        <w:t xml:space="preserve"> in 2013, and returned in 2016, against the will of the settlement committee (=</w:t>
      </w:r>
      <w:r>
        <w:rPr>
          <w:i/>
          <w:iCs/>
        </w:rPr>
        <w:t>def</w:t>
      </w:r>
      <w:r>
        <w:t>), with the help of pressure from the regional council (=</w:t>
      </w:r>
      <w:proofErr w:type="spellStart"/>
      <w:r>
        <w:rPr>
          <w:i/>
          <w:iCs/>
        </w:rPr>
        <w:t>rc</w:t>
      </w:r>
      <w:proofErr w:type="spellEnd"/>
      <w:r>
        <w:t>)</w:t>
      </w:r>
      <w:r>
        <w:rPr>
          <w:i/>
          <w:iCs/>
        </w:rPr>
        <w:t>. Def</w:t>
      </w:r>
      <w:r>
        <w:t xml:space="preserve"> instructed </w:t>
      </w:r>
      <w:r>
        <w:rPr>
          <w:i/>
          <w:iCs/>
        </w:rPr>
        <w:t xml:space="preserve">pl </w:t>
      </w:r>
      <w:r>
        <w:t xml:space="preserve">as to the boundaries of their lot, but </w:t>
      </w:r>
      <w:r>
        <w:rPr>
          <w:i/>
          <w:iCs/>
        </w:rPr>
        <w:t>pl</w:t>
      </w:r>
      <w:r>
        <w:t xml:space="preserve"> expanded them and ignored warnings to desist. In 2023, </w:t>
      </w:r>
      <w:r>
        <w:rPr>
          <w:i/>
          <w:iCs/>
        </w:rPr>
        <w:t>def</w:t>
      </w:r>
      <w:r>
        <w:t xml:space="preserve"> started preparing neighboring lots for new units, including areas to which </w:t>
      </w:r>
      <w:r>
        <w:rPr>
          <w:i/>
          <w:iCs/>
        </w:rPr>
        <w:t>pl</w:t>
      </w:r>
      <w:r>
        <w:t xml:space="preserve"> had asserted control, and destroyed some of </w:t>
      </w:r>
      <w:r>
        <w:rPr>
          <w:i/>
          <w:iCs/>
        </w:rPr>
        <w:t>pl</w:t>
      </w:r>
      <w:r>
        <w:t>’s infrastructure. [</w:t>
      </w:r>
      <w:r>
        <w:rPr>
          <w:i/>
          <w:iCs/>
        </w:rPr>
        <w:t>This installment’s issue:</w:t>
      </w:r>
      <w:r>
        <w:t xml:space="preserve">] </w:t>
      </w:r>
      <w:r w:rsidRPr="00790CE6">
        <w:rPr>
          <w:i/>
          <w:iCs/>
        </w:rPr>
        <w:t>Pl</w:t>
      </w:r>
      <w:r>
        <w:t xml:space="preserve"> claims that </w:t>
      </w:r>
      <w:proofErr w:type="spellStart"/>
      <w:r>
        <w:rPr>
          <w:i/>
          <w:iCs/>
        </w:rPr>
        <w:t>rc</w:t>
      </w:r>
      <w:proofErr w:type="spellEnd"/>
      <w:r>
        <w:rPr>
          <w:i/>
          <w:iCs/>
        </w:rPr>
        <w:t xml:space="preserve"> </w:t>
      </w:r>
      <w:r w:rsidRPr="00790CE6">
        <w:t>agreed</w:t>
      </w:r>
      <w:r>
        <w:t xml:space="preserve"> to their land plans without presenting limitations and is only now caving in due to pressure from strong forces within </w:t>
      </w:r>
      <w:r>
        <w:rPr>
          <w:i/>
          <w:iCs/>
        </w:rPr>
        <w:t>def</w:t>
      </w:r>
      <w:r>
        <w:t>.</w:t>
      </w:r>
    </w:p>
    <w:p w14:paraId="69537986" w14:textId="77777777" w:rsidR="00367753" w:rsidRPr="00561B28" w:rsidRDefault="00367753" w:rsidP="00367753">
      <w:pPr>
        <w:bidi w:val="0"/>
        <w:rPr>
          <w:sz w:val="22"/>
          <w:szCs w:val="22"/>
        </w:rPr>
      </w:pPr>
      <w:r>
        <w:t xml:space="preserve">  </w:t>
      </w:r>
    </w:p>
    <w:p w14:paraId="4269EAF0" w14:textId="77777777" w:rsidR="00367753" w:rsidRDefault="00367753" w:rsidP="00367753">
      <w:pPr>
        <w:bidi w:val="0"/>
      </w:pPr>
      <w:r w:rsidRPr="0024039C">
        <w:rPr>
          <w:b/>
          <w:bCs/>
          <w:color w:val="D85640"/>
          <w:sz w:val="24"/>
          <w:szCs w:val="24"/>
          <w:u w:val="single"/>
        </w:rPr>
        <w:t>Ruling</w:t>
      </w:r>
      <w:r w:rsidRPr="0024039C">
        <w:rPr>
          <w:b/>
          <w:bCs/>
          <w:color w:val="D85640"/>
          <w:sz w:val="24"/>
          <w:szCs w:val="24"/>
        </w:rPr>
        <w:t>:</w:t>
      </w:r>
      <w:r w:rsidRPr="00942E24">
        <w:t xml:space="preserve"> </w:t>
      </w:r>
      <w:r w:rsidRPr="000916CC">
        <w:rPr>
          <w:i/>
          <w:iCs/>
        </w:rPr>
        <w:t>Pl</w:t>
      </w:r>
      <w:r>
        <w:t xml:space="preserve"> claims that </w:t>
      </w:r>
      <w:proofErr w:type="spellStart"/>
      <w:r>
        <w:rPr>
          <w:i/>
          <w:iCs/>
        </w:rPr>
        <w:t>rc</w:t>
      </w:r>
      <w:proofErr w:type="spellEnd"/>
      <w:r>
        <w:rPr>
          <w:i/>
          <w:iCs/>
        </w:rPr>
        <w:t xml:space="preserve"> </w:t>
      </w:r>
      <w:r>
        <w:t xml:space="preserve">never sent maps limiting homes to a half a dunam. </w:t>
      </w:r>
      <w:r>
        <w:rPr>
          <w:i/>
          <w:iCs/>
        </w:rPr>
        <w:t>Beit din</w:t>
      </w:r>
      <w:r>
        <w:t xml:space="preserve"> rejects this claim. </w:t>
      </w:r>
      <w:proofErr w:type="spellStart"/>
      <w:r>
        <w:rPr>
          <w:i/>
          <w:iCs/>
        </w:rPr>
        <w:t>Rc</w:t>
      </w:r>
      <w:proofErr w:type="spellEnd"/>
      <w:r>
        <w:rPr>
          <w:i/>
          <w:iCs/>
        </w:rPr>
        <w:t xml:space="preserve"> </w:t>
      </w:r>
      <w:r>
        <w:t xml:space="preserve">has a file for </w:t>
      </w:r>
      <w:r>
        <w:rPr>
          <w:i/>
          <w:iCs/>
        </w:rPr>
        <w:t>pl</w:t>
      </w:r>
      <w:r>
        <w:t xml:space="preserve">’s property, with much detailed documentation, including the maps in question. This file was not opened by itself. The indications that </w:t>
      </w:r>
      <w:r>
        <w:rPr>
          <w:i/>
          <w:iCs/>
        </w:rPr>
        <w:t>pl</w:t>
      </w:r>
      <w:r>
        <w:t xml:space="preserve"> were aware of what was planned for them is corroborated by </w:t>
      </w:r>
      <w:proofErr w:type="spellStart"/>
      <w:r>
        <w:rPr>
          <w:i/>
          <w:iCs/>
        </w:rPr>
        <w:t>rc</w:t>
      </w:r>
      <w:r w:rsidRPr="007133AC">
        <w:t>’s</w:t>
      </w:r>
      <w:proofErr w:type="spellEnd"/>
      <w:r>
        <w:t xml:space="preserve"> engineer’s (=</w:t>
      </w:r>
      <w:proofErr w:type="spellStart"/>
      <w:r>
        <w:rPr>
          <w:i/>
          <w:iCs/>
        </w:rPr>
        <w:t>rce</w:t>
      </w:r>
      <w:proofErr w:type="spellEnd"/>
      <w:r>
        <w:t xml:space="preserve">) testimony. While there were some difficulties with </w:t>
      </w:r>
      <w:proofErr w:type="spellStart"/>
      <w:r>
        <w:rPr>
          <w:i/>
          <w:iCs/>
        </w:rPr>
        <w:t>rce</w:t>
      </w:r>
      <w:r>
        <w:t>’s</w:t>
      </w:r>
      <w:proofErr w:type="spellEnd"/>
      <w:r>
        <w:t xml:space="preserve"> testimony, it makes clear the basic fact that there was a discussion between </w:t>
      </w:r>
      <w:proofErr w:type="spellStart"/>
      <w:r>
        <w:rPr>
          <w:i/>
          <w:iCs/>
        </w:rPr>
        <w:t>rc</w:t>
      </w:r>
      <w:proofErr w:type="spellEnd"/>
      <w:r>
        <w:t xml:space="preserve"> and </w:t>
      </w:r>
      <w:r>
        <w:rPr>
          <w:i/>
          <w:iCs/>
        </w:rPr>
        <w:t>pl</w:t>
      </w:r>
      <w:r>
        <w:t xml:space="preserve"> at the relevant times. </w:t>
      </w:r>
    </w:p>
    <w:p w14:paraId="7466CA2F" w14:textId="77777777" w:rsidR="00367753" w:rsidRDefault="00367753" w:rsidP="00367753">
      <w:pPr>
        <w:bidi w:val="0"/>
        <w:ind w:firstLine="567"/>
      </w:pPr>
      <w:r>
        <w:t xml:space="preserve">While </w:t>
      </w:r>
      <w:proofErr w:type="spellStart"/>
      <w:r>
        <w:rPr>
          <w:i/>
          <w:iCs/>
        </w:rPr>
        <w:t>rc</w:t>
      </w:r>
      <w:proofErr w:type="spellEnd"/>
      <w:r>
        <w:t xml:space="preserve"> lacks authority to allocate land without permission from those who control it, since it is part of </w:t>
      </w:r>
      <w:proofErr w:type="spellStart"/>
      <w:r>
        <w:rPr>
          <w:i/>
          <w:iCs/>
        </w:rPr>
        <w:t>rc</w:t>
      </w:r>
      <w:r>
        <w:t>’s</w:t>
      </w:r>
      <w:proofErr w:type="spellEnd"/>
      <w:r>
        <w:t xml:space="preserve"> responsibility to prepare not yet recognized settlements for normalization, that includes preventing anarchy in land allocation that prevents such normalization. As mentioned in the past, </w:t>
      </w:r>
      <w:r>
        <w:rPr>
          <w:i/>
          <w:iCs/>
        </w:rPr>
        <w:t>pl</w:t>
      </w:r>
      <w:r>
        <w:t xml:space="preserve"> used </w:t>
      </w:r>
      <w:proofErr w:type="spellStart"/>
      <w:r>
        <w:rPr>
          <w:i/>
          <w:iCs/>
        </w:rPr>
        <w:t>rc</w:t>
      </w:r>
      <w:r w:rsidRPr="00EE1BF3">
        <w:t>’s</w:t>
      </w:r>
      <w:proofErr w:type="spellEnd"/>
      <w:r>
        <w:t xml:space="preserve"> influence to receive their lot in the first place. </w:t>
      </w:r>
    </w:p>
    <w:p w14:paraId="2667547A" w14:textId="77777777" w:rsidR="00367753" w:rsidRDefault="00367753" w:rsidP="00367753">
      <w:pPr>
        <w:bidi w:val="0"/>
        <w:ind w:firstLine="567"/>
      </w:pPr>
      <w:proofErr w:type="spellStart"/>
      <w:r>
        <w:rPr>
          <w:i/>
          <w:iCs/>
        </w:rPr>
        <w:t>Rc</w:t>
      </w:r>
      <w:proofErr w:type="spellEnd"/>
      <w:r>
        <w:rPr>
          <w:i/>
          <w:iCs/>
        </w:rPr>
        <w:t xml:space="preserve"> </w:t>
      </w:r>
      <w:r>
        <w:t xml:space="preserve">presented a clear stance to </w:t>
      </w:r>
      <w:proofErr w:type="spellStart"/>
      <w:r>
        <w:rPr>
          <w:i/>
          <w:iCs/>
        </w:rPr>
        <w:t>beit</w:t>
      </w:r>
      <w:proofErr w:type="spellEnd"/>
      <w:r>
        <w:rPr>
          <w:i/>
          <w:iCs/>
        </w:rPr>
        <w:t xml:space="preserve"> din</w:t>
      </w:r>
      <w:r>
        <w:t xml:space="preserve"> that they were against anyone having a lot larger than 700 square meters. </w:t>
      </w:r>
      <w:r>
        <w:rPr>
          <w:i/>
          <w:iCs/>
        </w:rPr>
        <w:t>Pl</w:t>
      </w:r>
      <w:r>
        <w:t xml:space="preserve"> claim that this is a change in their longstanding policy in regard to </w:t>
      </w:r>
      <w:r>
        <w:rPr>
          <w:i/>
          <w:iCs/>
        </w:rPr>
        <w:t>pl</w:t>
      </w:r>
      <w:r>
        <w:t xml:space="preserve">, and is based on political pressure. </w:t>
      </w:r>
      <w:r>
        <w:rPr>
          <w:i/>
          <w:iCs/>
        </w:rPr>
        <w:t>Beit din</w:t>
      </w:r>
      <w:r>
        <w:t xml:space="preserve"> sees no change in </w:t>
      </w:r>
      <w:proofErr w:type="spellStart"/>
      <w:r>
        <w:rPr>
          <w:i/>
          <w:iCs/>
        </w:rPr>
        <w:t>rc</w:t>
      </w:r>
      <w:r>
        <w:t>’s</w:t>
      </w:r>
      <w:proofErr w:type="spellEnd"/>
      <w:r>
        <w:t xml:space="preserve"> policy, which was well known and finds expression in </w:t>
      </w:r>
      <w:proofErr w:type="spellStart"/>
      <w:r>
        <w:rPr>
          <w:i/>
          <w:iCs/>
        </w:rPr>
        <w:t>rc’s</w:t>
      </w:r>
      <w:proofErr w:type="spellEnd"/>
      <w:r>
        <w:rPr>
          <w:i/>
          <w:iCs/>
        </w:rPr>
        <w:t xml:space="preserve"> </w:t>
      </w:r>
      <w:r>
        <w:t xml:space="preserve">file on </w:t>
      </w:r>
      <w:r>
        <w:rPr>
          <w:i/>
          <w:iCs/>
        </w:rPr>
        <w:t>pl</w:t>
      </w:r>
      <w:r>
        <w:t xml:space="preserve">. </w:t>
      </w:r>
    </w:p>
    <w:p w14:paraId="65209945" w14:textId="77777777" w:rsidR="00367753" w:rsidRPr="00522FAE" w:rsidRDefault="00367753" w:rsidP="00367753">
      <w:pPr>
        <w:bidi w:val="0"/>
        <w:ind w:firstLine="567"/>
      </w:pPr>
      <w:proofErr w:type="spellStart"/>
      <w:r>
        <w:rPr>
          <w:i/>
          <w:iCs/>
        </w:rPr>
        <w:t>Rc</w:t>
      </w:r>
      <w:proofErr w:type="spellEnd"/>
      <w:r>
        <w:t xml:space="preserve"> claims that the area south of </w:t>
      </w:r>
      <w:r>
        <w:rPr>
          <w:i/>
          <w:iCs/>
        </w:rPr>
        <w:t>pl</w:t>
      </w:r>
      <w:r>
        <w:t xml:space="preserve">’s property was set aside as a public open space, and </w:t>
      </w:r>
      <w:r>
        <w:rPr>
          <w:i/>
          <w:iCs/>
        </w:rPr>
        <w:t>pl</w:t>
      </w:r>
      <w:r>
        <w:t xml:space="preserve"> claim that it was agreed that they would have special rights to usage there. There was a meeting at which it was agreed that a rock retaining wall at the area’s boundary with </w:t>
      </w:r>
      <w:r>
        <w:rPr>
          <w:i/>
          <w:iCs/>
        </w:rPr>
        <w:t>pl</w:t>
      </w:r>
      <w:r>
        <w:t>’s property</w:t>
      </w:r>
      <w:r>
        <w:rPr>
          <w:i/>
          <w:iCs/>
        </w:rPr>
        <w:t xml:space="preserve"> </w:t>
      </w:r>
      <w:r>
        <w:t xml:space="preserve">would be built by </w:t>
      </w:r>
      <w:r>
        <w:rPr>
          <w:i/>
          <w:iCs/>
        </w:rPr>
        <w:t>def</w:t>
      </w:r>
      <w:r>
        <w:t xml:space="preserve">, and be paid for by </w:t>
      </w:r>
      <w:r w:rsidRPr="00AC06E1">
        <w:rPr>
          <w:i/>
          <w:iCs/>
        </w:rPr>
        <w:t>pl</w:t>
      </w:r>
      <w:r>
        <w:t xml:space="preserve">. </w:t>
      </w:r>
      <w:r>
        <w:rPr>
          <w:i/>
          <w:iCs/>
        </w:rPr>
        <w:t>Pl</w:t>
      </w:r>
      <w:r>
        <w:t xml:space="preserve"> claim that at a meeting they were promised that anything above the rock formation would be for their full use, and </w:t>
      </w:r>
      <w:proofErr w:type="spellStart"/>
      <w:r>
        <w:rPr>
          <w:i/>
          <w:iCs/>
        </w:rPr>
        <w:t>rc</w:t>
      </w:r>
      <w:r>
        <w:t>’s</w:t>
      </w:r>
      <w:proofErr w:type="spellEnd"/>
      <w:r>
        <w:t xml:space="preserve"> representative to that meeting refused to come and testify what transpired. </w:t>
      </w:r>
      <w:r>
        <w:rPr>
          <w:i/>
          <w:iCs/>
        </w:rPr>
        <w:t>Pl</w:t>
      </w:r>
      <w:r>
        <w:t xml:space="preserve"> claims that this proves that they are correct and the representative is intimidated by </w:t>
      </w:r>
      <w:r>
        <w:rPr>
          <w:i/>
          <w:iCs/>
        </w:rPr>
        <w:t>def</w:t>
      </w:r>
      <w:r>
        <w:t xml:space="preserve">. </w:t>
      </w:r>
      <w:r>
        <w:rPr>
          <w:i/>
          <w:iCs/>
        </w:rPr>
        <w:t>Beit din</w:t>
      </w:r>
      <w:r>
        <w:t xml:space="preserve"> rejects that claim. One needs strong grounds to establish that one who refuses to testify does so because of a litigant’s intimidation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92:6). In this case, the representative is a powerful person who should not feel intimidated by </w:t>
      </w:r>
      <w:r>
        <w:rPr>
          <w:i/>
          <w:iCs/>
        </w:rPr>
        <w:t xml:space="preserve">def. </w:t>
      </w:r>
      <w:r>
        <w:t xml:space="preserve">Although </w:t>
      </w:r>
      <w:proofErr w:type="spellStart"/>
      <w:r>
        <w:rPr>
          <w:i/>
          <w:iCs/>
        </w:rPr>
        <w:t>rc</w:t>
      </w:r>
      <w:proofErr w:type="spellEnd"/>
      <w:r>
        <w:rPr>
          <w:i/>
          <w:iCs/>
        </w:rPr>
        <w:t xml:space="preserve"> </w:t>
      </w:r>
      <w:r>
        <w:t xml:space="preserve">had suggested a compromise regarding this area, this is not binding, as it just represents what </w:t>
      </w:r>
      <w:proofErr w:type="spellStart"/>
      <w:r>
        <w:rPr>
          <w:i/>
          <w:iCs/>
        </w:rPr>
        <w:t>rc</w:t>
      </w:r>
      <w:proofErr w:type="spellEnd"/>
      <w:r>
        <w:t xml:space="preserve"> could accept from a planning perspective. Regarding a public area, the people of the public (</w:t>
      </w:r>
      <w:r>
        <w:rPr>
          <w:i/>
          <w:iCs/>
        </w:rPr>
        <w:t>def</w:t>
      </w:r>
      <w:r>
        <w:t xml:space="preserve">) need to accept it. Joint usage of the area would have required cooperation between </w:t>
      </w:r>
      <w:r>
        <w:rPr>
          <w:i/>
          <w:iCs/>
        </w:rPr>
        <w:t>def</w:t>
      </w:r>
      <w:r>
        <w:t xml:space="preserve"> and </w:t>
      </w:r>
      <w:r>
        <w:rPr>
          <w:i/>
          <w:iCs/>
        </w:rPr>
        <w:t>pl</w:t>
      </w:r>
      <w:r>
        <w:t>, which we see is untenable, due to the enmity between them.</w:t>
      </w:r>
    </w:p>
    <w:p w14:paraId="521A043A" w14:textId="4B210EB8" w:rsidR="0060529C" w:rsidRDefault="0060529C" w:rsidP="00367753">
      <w:pPr>
        <w:pStyle w:val="PlainText"/>
        <w:rPr>
          <w:color w:val="365F91"/>
        </w:rPr>
      </w:pPr>
    </w:p>
    <w:p w14:paraId="4E3E8707" w14:textId="5933A1CD" w:rsidR="0060529C" w:rsidRDefault="0060529C" w:rsidP="00316F85">
      <w:pPr>
        <w:pStyle w:val="PlainText"/>
        <w:jc w:val="center"/>
        <w:rPr>
          <w:color w:val="365F91"/>
        </w:rPr>
      </w:pPr>
    </w:p>
    <w:p w14:paraId="0C8CAF3B" w14:textId="77777777" w:rsidR="00021FD4" w:rsidRDefault="00021FD4"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367753"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2E958EF" w14:textId="5D05ACC7" w:rsidR="0060529C" w:rsidRDefault="0060529C" w:rsidP="00316F85">
      <w:pPr>
        <w:pStyle w:val="PlainText"/>
        <w:jc w:val="center"/>
      </w:pPr>
    </w:p>
    <w:p w14:paraId="3DC233F9" w14:textId="5E509D97" w:rsidR="0060529C" w:rsidRDefault="0060529C" w:rsidP="00316F85">
      <w:pPr>
        <w:pStyle w:val="PlainText"/>
        <w:jc w:val="center"/>
      </w:pPr>
    </w:p>
    <w:p w14:paraId="55BA844B" w14:textId="77777777" w:rsidR="0060529C" w:rsidRDefault="0060529C"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074F34E7"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253653">
      <w:rPr>
        <w:b/>
        <w:bCs/>
        <w:color w:val="D85640"/>
        <w:sz w:val="26"/>
        <w:szCs w:val="26"/>
      </w:rPr>
      <w:t>Pinchas</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758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1FD4"/>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19"/>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90"/>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8B5"/>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365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53"/>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231"/>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3E77"/>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46C"/>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29C"/>
    <w:rsid w:val="006054B1"/>
    <w:rsid w:val="00605B75"/>
    <w:rsid w:val="00605FC9"/>
    <w:rsid w:val="00606AC5"/>
    <w:rsid w:val="00607407"/>
    <w:rsid w:val="00607502"/>
    <w:rsid w:val="006076A8"/>
    <w:rsid w:val="006078B1"/>
    <w:rsid w:val="00607B3F"/>
    <w:rsid w:val="006101CA"/>
    <w:rsid w:val="00610395"/>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A79"/>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CBD"/>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6A9"/>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2D"/>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31C"/>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D94"/>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07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1FA8"/>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80E"/>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3A9D"/>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AC3"/>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046"/>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758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Strong" w:qFormat="1"/>
    <w:lsdException w:name="Emphasis" w:uiPriority="20"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uiPriority w:val="99"/>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uiPriority w:val="99"/>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2981</Words>
  <Characters>15132</Characters>
  <Application>Microsoft Office Word</Application>
  <DocSecurity>0</DocSecurity>
  <Lines>126</Lines>
  <Paragraphs>36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18077</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5</cp:revision>
  <cp:lastPrinted>2026-05-17T14:09:00Z</cp:lastPrinted>
  <dcterms:created xsi:type="dcterms:W3CDTF">2026-06-14T11:28:00Z</dcterms:created>
  <dcterms:modified xsi:type="dcterms:W3CDTF">2026-06-14T12:59:00Z</dcterms:modified>
</cp:coreProperties>
</file>