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4B6E0FD0" w14:textId="4EDD76EA" w:rsidR="00263195" w:rsidRPr="00D042C1" w:rsidRDefault="00C60FEB" w:rsidP="00974E3A">
            <w:pPr>
              <w:pStyle w:val="a6"/>
              <w:tabs>
                <w:tab w:val="clear" w:pos="4153"/>
              </w:tabs>
              <w:rPr>
                <w:rFonts w:ascii="Arial Black" w:hAnsi="Arial Black" w:cs="David"/>
                <w:b/>
                <w:bCs/>
                <w:iCs/>
                <w:color w:val="960000"/>
                <w:sz w:val="36"/>
                <w:szCs w:val="3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CF1866">
              <w:rPr>
                <w:rFonts w:ascii="Arial Black" w:hAnsi="Arial Black" w:cs="David" w:hint="cs"/>
                <w:b/>
                <w:bCs/>
                <w:iCs/>
                <w:color w:val="960000"/>
                <w:sz w:val="48"/>
                <w:szCs w:val="48"/>
                <w:rtl/>
              </w:rPr>
              <w:t>פקודי</w:t>
            </w:r>
            <w:r w:rsidR="00FA505B" w:rsidRPr="00D042C1">
              <w:rPr>
                <w:rFonts w:ascii="Arial Black" w:hAnsi="Arial Black" w:cs="David" w:hint="cs"/>
                <w:b/>
                <w:bCs/>
                <w:iCs/>
                <w:color w:val="960000"/>
                <w:sz w:val="36"/>
                <w:szCs w:val="36"/>
                <w:rtl/>
              </w:rPr>
              <w:t xml:space="preserve"> </w:t>
            </w:r>
            <w:r w:rsidR="00CF1866" w:rsidRPr="00D3397B">
              <w:rPr>
                <w:rFonts w:ascii="Arial Black" w:hAnsi="Arial Black" w:cs="David" w:hint="cs"/>
                <w:b/>
                <w:bCs/>
                <w:iCs/>
                <w:color w:val="960000"/>
                <w:sz w:val="32"/>
                <w:szCs w:val="32"/>
                <w:rtl/>
              </w:rPr>
              <w:t>החודש</w:t>
            </w:r>
            <w:r w:rsidR="00B94BB0" w:rsidRPr="00D3397B">
              <w:rPr>
                <w:rFonts w:ascii="Arial Black" w:hAnsi="Arial Black" w:cs="David" w:hint="cs"/>
                <w:b/>
                <w:bCs/>
                <w:iCs/>
                <w:color w:val="960000"/>
                <w:sz w:val="32"/>
                <w:szCs w:val="32"/>
                <w:rtl/>
              </w:rPr>
              <w:t xml:space="preserve"> </w:t>
            </w:r>
            <w:r w:rsidR="001E67B5" w:rsidRPr="00D3397B">
              <w:rPr>
                <w:rFonts w:ascii="Arial Black" w:hAnsi="Arial Black" w:cs="David" w:hint="cs"/>
                <w:b/>
                <w:bCs/>
                <w:iCs/>
                <w:color w:val="960000"/>
                <w:sz w:val="32"/>
                <w:szCs w:val="32"/>
                <w:rtl/>
              </w:rPr>
              <w:t>תשפ"ה</w:t>
            </w:r>
          </w:p>
          <w:p w14:paraId="1E0C3AA8" w14:textId="741B03CF" w:rsidR="000B71EA" w:rsidRPr="001E67B5" w:rsidRDefault="000B71EA" w:rsidP="00B94BB0">
            <w:pPr>
              <w:pStyle w:val="a6"/>
              <w:tabs>
                <w:tab w:val="clear" w:pos="4153"/>
              </w:tabs>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3A683BD8" w14:textId="77777777" w:rsidR="00D469C2" w:rsidRPr="00D469C2" w:rsidRDefault="00D469C2" w:rsidP="00D469C2">
            <w:pPr>
              <w:ind w:left="312" w:right="454"/>
              <w:jc w:val="center"/>
              <w:rPr>
                <w:rFonts w:ascii="FrankRuehl" w:hAnsi="FrankRuehl" w:cs="FrankRuehl"/>
                <w:b/>
                <w:bCs/>
                <w:color w:val="0070C0"/>
                <w:sz w:val="34"/>
                <w:szCs w:val="34"/>
                <w:u w:val="single"/>
                <w:rtl/>
              </w:rPr>
            </w:pPr>
            <w:bookmarkStart w:id="1" w:name="_Hlk184807529"/>
            <w:r w:rsidRPr="00D469C2">
              <w:rPr>
                <w:rFonts w:ascii="FrankRuehl" w:hAnsi="FrankRuehl" w:cs="FrankRuehl" w:hint="cs"/>
                <w:b/>
                <w:bCs/>
                <w:color w:val="0070C0"/>
                <w:sz w:val="34"/>
                <w:szCs w:val="34"/>
                <w:u w:val="single"/>
                <w:rtl/>
              </w:rPr>
              <w:t>הרוח, הגשם והלוח העברי</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6BDBFC" w14:textId="77777777" w:rsidR="008D1D1F" w:rsidRPr="00D469C2" w:rsidRDefault="008D1D1F" w:rsidP="008D1D1F">
            <w:pPr>
              <w:spacing w:line="259" w:lineRule="auto"/>
              <w:ind w:left="28"/>
              <w:rPr>
                <w:rFonts w:ascii="David" w:hAnsi="David" w:cs="David"/>
                <w:b/>
                <w:bCs/>
                <w:sz w:val="16"/>
                <w:szCs w:val="16"/>
                <w:rtl/>
              </w:rPr>
            </w:pPr>
            <w:bookmarkStart w:id="2" w:name="_Hlk184807492"/>
          </w:p>
          <w:bookmarkEnd w:id="2"/>
          <w:p w14:paraId="176EA87F" w14:textId="77777777" w:rsidR="00D469C2" w:rsidRDefault="00D469C2" w:rsidP="00D469C2">
            <w:pPr>
              <w:spacing w:line="264" w:lineRule="auto"/>
              <w:rPr>
                <w:rFonts w:ascii="David" w:hAnsi="David" w:cs="David"/>
                <w:rtl/>
              </w:rPr>
            </w:pPr>
            <w:r w:rsidRPr="00D469C2">
              <w:rPr>
                <w:rFonts w:ascii="David" w:hAnsi="David" w:cs="David"/>
                <w:rtl/>
              </w:rPr>
              <w:t>למה התורה לא מתחילה בפרשת החודש אותה נקרא כמפטיר בשבת הקרובה</w:t>
            </w:r>
            <w:r w:rsidRPr="00D469C2">
              <w:rPr>
                <w:rFonts w:ascii="David" w:hAnsi="David" w:cs="David" w:hint="cs"/>
                <w:rtl/>
              </w:rPr>
              <w:t>?</w:t>
            </w:r>
            <w:r w:rsidRPr="00D469C2">
              <w:rPr>
                <w:rFonts w:ascii="David" w:hAnsi="David" w:cs="David"/>
                <w:rtl/>
              </w:rPr>
              <w:t xml:space="preserve"> </w:t>
            </w:r>
          </w:p>
          <w:p w14:paraId="707DB44D" w14:textId="77777777" w:rsidR="00D469C2" w:rsidRDefault="00D469C2" w:rsidP="00D469C2">
            <w:pPr>
              <w:spacing w:line="264" w:lineRule="auto"/>
              <w:rPr>
                <w:rFonts w:ascii="David" w:hAnsi="David" w:cs="David"/>
                <w:rtl/>
              </w:rPr>
            </w:pPr>
            <w:r w:rsidRPr="00D469C2">
              <w:rPr>
                <w:rFonts w:ascii="David" w:hAnsi="David" w:cs="David"/>
                <w:rtl/>
              </w:rPr>
              <w:t>שאלה זו נשאלה על ידי חז"ל והובאה גם בפירוש רש"י הראשון על התורה. זה</w:t>
            </w:r>
            <w:r w:rsidRPr="00D469C2">
              <w:rPr>
                <w:rFonts w:ascii="David" w:hAnsi="David" w:cs="David" w:hint="cs"/>
                <w:rtl/>
              </w:rPr>
              <w:t>ו</w:t>
            </w:r>
            <w:r w:rsidRPr="00D469C2">
              <w:rPr>
                <w:rFonts w:ascii="David" w:hAnsi="David" w:cs="David"/>
                <w:rtl/>
              </w:rPr>
              <w:t xml:space="preserve"> סימן מובהק לחשיבותו של הלוח העברי</w:t>
            </w:r>
            <w:r w:rsidRPr="00D469C2">
              <w:rPr>
                <w:rFonts w:ascii="David" w:hAnsi="David" w:cs="David" w:hint="cs"/>
                <w:rtl/>
              </w:rPr>
              <w:t>,</w:t>
            </w:r>
            <w:r w:rsidRPr="00D469C2">
              <w:rPr>
                <w:rFonts w:ascii="David" w:hAnsi="David" w:cs="David"/>
                <w:rtl/>
              </w:rPr>
              <w:t xml:space="preserve"> שמופיע כאן לראשונה במקורותינו. בדברינו </w:t>
            </w:r>
            <w:hyperlink r:id="rId11" w:history="1">
              <w:r w:rsidRPr="00D469C2">
                <w:rPr>
                  <w:rStyle w:val="Hyperlink"/>
                  <w:rFonts w:ascii="David" w:hAnsi="David" w:cs="David"/>
                  <w:rtl/>
                </w:rPr>
                <w:t xml:space="preserve">לשבת </w:t>
              </w:r>
              <w:r w:rsidRPr="00D469C2">
                <w:rPr>
                  <w:rStyle w:val="Hyperlink"/>
                  <w:rFonts w:ascii="David" w:hAnsi="David" w:cs="David" w:hint="cs"/>
                  <w:rtl/>
                </w:rPr>
                <w:t xml:space="preserve">פרשת </w:t>
              </w:r>
              <w:r w:rsidRPr="00D469C2">
                <w:rPr>
                  <w:rStyle w:val="Hyperlink"/>
                  <w:rFonts w:ascii="David" w:hAnsi="David" w:cs="David"/>
                  <w:rtl/>
                </w:rPr>
                <w:t>בא תשס"ה</w:t>
              </w:r>
            </w:hyperlink>
            <w:r w:rsidRPr="00D469C2">
              <w:rPr>
                <w:rFonts w:ascii="David" w:hAnsi="David" w:cs="David"/>
                <w:rtl/>
              </w:rPr>
              <w:t xml:space="preserve"> הסברנו מדוע הלוח העברי כל כך חשוב</w:t>
            </w:r>
            <w:r w:rsidRPr="00D469C2">
              <w:rPr>
                <w:rFonts w:ascii="David" w:hAnsi="David" w:cs="David" w:hint="cs"/>
                <w:rtl/>
              </w:rPr>
              <w:t>.</w:t>
            </w:r>
            <w:r w:rsidRPr="00D469C2">
              <w:rPr>
                <w:rFonts w:ascii="David" w:hAnsi="David" w:cs="David"/>
              </w:rPr>
              <w:t xml:space="preserve"> </w:t>
            </w:r>
            <w:r w:rsidRPr="00D469C2">
              <w:rPr>
                <w:rFonts w:ascii="David" w:hAnsi="David" w:cs="David"/>
                <w:rtl/>
              </w:rPr>
              <w:t xml:space="preserve"> </w:t>
            </w:r>
          </w:p>
          <w:p w14:paraId="1BD2AF1F" w14:textId="6C721ADE" w:rsidR="00D469C2" w:rsidRPr="00D469C2" w:rsidRDefault="00D469C2" w:rsidP="00D469C2">
            <w:pPr>
              <w:spacing w:line="264" w:lineRule="auto"/>
              <w:rPr>
                <w:rFonts w:ascii="David" w:hAnsi="David" w:cs="David"/>
                <w:rtl/>
              </w:rPr>
            </w:pPr>
            <w:r w:rsidRPr="00D469C2">
              <w:rPr>
                <w:rFonts w:ascii="David" w:hAnsi="David" w:cs="David"/>
                <w:rtl/>
              </w:rPr>
              <w:t xml:space="preserve">נוסיף עוד כמה היבטים עקרוניים. </w:t>
            </w:r>
          </w:p>
          <w:p w14:paraId="7C95024A" w14:textId="77777777" w:rsidR="00D469C2" w:rsidRPr="00D469C2" w:rsidRDefault="00D469C2" w:rsidP="00D469C2">
            <w:pPr>
              <w:spacing w:line="264" w:lineRule="auto"/>
              <w:rPr>
                <w:rFonts w:ascii="David" w:hAnsi="David" w:cs="David"/>
                <w:rtl/>
              </w:rPr>
            </w:pPr>
            <w:r w:rsidRPr="00D469C2">
              <w:rPr>
                <w:rFonts w:ascii="David" w:hAnsi="David" w:cs="David"/>
                <w:rtl/>
              </w:rPr>
              <w:t>קביעת חודש ניסן כחודש הראשון כוללת בתוכה כמה הכרזות:</w:t>
            </w:r>
          </w:p>
          <w:p w14:paraId="7B85BC67" w14:textId="77777777" w:rsidR="00D469C2" w:rsidRPr="00D469C2" w:rsidRDefault="00D469C2" w:rsidP="00D469C2">
            <w:pPr>
              <w:numPr>
                <w:ilvl w:val="0"/>
                <w:numId w:val="22"/>
              </w:numPr>
              <w:spacing w:line="264" w:lineRule="auto"/>
              <w:ind w:left="360"/>
              <w:rPr>
                <w:rFonts w:ascii="David" w:hAnsi="David" w:cs="David"/>
              </w:rPr>
            </w:pPr>
            <w:r w:rsidRPr="00D469C2">
              <w:rPr>
                <w:rFonts w:ascii="David" w:hAnsi="David" w:cs="David"/>
                <w:rtl/>
              </w:rPr>
              <w:t>התורה רואה חשיבות מרובה בקביעת לוח המתחשב גם במושג 'שנה'</w:t>
            </w:r>
            <w:r w:rsidRPr="00D469C2">
              <w:rPr>
                <w:rFonts w:ascii="David" w:hAnsi="David" w:cs="David" w:hint="cs"/>
                <w:rtl/>
              </w:rPr>
              <w:t>,</w:t>
            </w:r>
            <w:r w:rsidRPr="00D469C2">
              <w:rPr>
                <w:rFonts w:ascii="David" w:hAnsi="David" w:cs="David"/>
                <w:rtl/>
              </w:rPr>
              <w:t xml:space="preserve"> המבוססת על מספר הימים בהם מסיים כדור הארץ להקיף את השמש</w:t>
            </w:r>
            <w:r w:rsidRPr="00D469C2">
              <w:rPr>
                <w:rFonts w:ascii="David" w:hAnsi="David" w:cs="David" w:hint="cs"/>
                <w:rtl/>
              </w:rPr>
              <w:t>,</w:t>
            </w:r>
            <w:r w:rsidRPr="00D469C2">
              <w:rPr>
                <w:rFonts w:ascii="David" w:hAnsi="David" w:cs="David"/>
                <w:rtl/>
              </w:rPr>
              <w:t xml:space="preserve"> וגם במושג 'חודש' המבוסס על מספר הימים בהם מסיימת הלבנה את סיבובה סביב כדור הארץ ומתרחש מולד חדש. השמש היא קבועה, הירח לעומתה מבחינתנו מתחדש ומשתנה. במקור היה צריך כל חודש להעיד על ההתחדשות ובימ</w:t>
            </w:r>
            <w:r w:rsidRPr="00D469C2">
              <w:rPr>
                <w:rFonts w:ascii="David" w:hAnsi="David" w:cs="David" w:hint="cs"/>
                <w:rtl/>
              </w:rPr>
              <w:t>י</w:t>
            </w:r>
            <w:r w:rsidRPr="00D469C2">
              <w:rPr>
                <w:rFonts w:ascii="David" w:hAnsi="David" w:cs="David"/>
                <w:rtl/>
              </w:rPr>
              <w:t>נו אנו מחשבים ממוצעים. החקלאות המספקת את מחייתנו מבוססת על ההתקדמות בלוח השנה השמשי הקבוע, אבל ההתחדשות האנושית</w:t>
            </w:r>
            <w:r w:rsidRPr="00D469C2">
              <w:rPr>
                <w:rFonts w:ascii="David" w:hAnsi="David" w:cs="David" w:hint="cs"/>
                <w:rtl/>
              </w:rPr>
              <w:t>,</w:t>
            </w:r>
            <w:r w:rsidRPr="00D469C2">
              <w:rPr>
                <w:rFonts w:ascii="David" w:hAnsi="David" w:cs="David"/>
                <w:rtl/>
              </w:rPr>
              <w:t xml:space="preserve"> שהיא תוצאה של הריון ולידה מבוססים על המחזוריות החודשית. זה רמוז גם בביטוי מולד</w:t>
            </w:r>
            <w:r w:rsidRPr="00D469C2">
              <w:rPr>
                <w:rFonts w:ascii="David" w:hAnsi="David" w:cs="David" w:hint="cs"/>
                <w:rtl/>
              </w:rPr>
              <w:t>,</w:t>
            </w:r>
            <w:r w:rsidRPr="00D469C2">
              <w:rPr>
                <w:rFonts w:ascii="David" w:hAnsi="David" w:cs="David"/>
                <w:rtl/>
              </w:rPr>
              <w:t xml:space="preserve"> המבטא חודש חדש והופעה של צאצא חדש. הלוח העברי משדר לנו כי מסורת וקביעות חשובים</w:t>
            </w:r>
            <w:r w:rsidRPr="00D469C2">
              <w:rPr>
                <w:rFonts w:ascii="David" w:hAnsi="David" w:cs="David" w:hint="cs"/>
                <w:rtl/>
              </w:rPr>
              <w:t>,</w:t>
            </w:r>
            <w:r w:rsidRPr="00D469C2">
              <w:rPr>
                <w:rFonts w:ascii="David" w:hAnsi="David" w:cs="David"/>
                <w:rtl/>
              </w:rPr>
              <w:t xml:space="preserve"> אבל גם יצירתיות וחידוש חשובים לא פחות. אחד מהם בלבד לא מספיק, רק שילוב של </w:t>
            </w:r>
            <w:r w:rsidRPr="00D469C2">
              <w:rPr>
                <w:rFonts w:ascii="David" w:hAnsi="David" w:cs="David" w:hint="cs"/>
                <w:rtl/>
              </w:rPr>
              <w:t>מסורת, קביעות ויצירתיות</w:t>
            </w:r>
            <w:r w:rsidRPr="00D469C2">
              <w:rPr>
                <w:rFonts w:ascii="David" w:hAnsi="David" w:cs="David"/>
                <w:rtl/>
              </w:rPr>
              <w:t xml:space="preserve"> </w:t>
            </w:r>
            <w:r w:rsidRPr="00D469C2">
              <w:rPr>
                <w:rFonts w:ascii="David" w:hAnsi="David" w:cs="David" w:hint="cs"/>
                <w:rtl/>
              </w:rPr>
              <w:t>מניב</w:t>
            </w:r>
            <w:r w:rsidRPr="00D469C2">
              <w:rPr>
                <w:rFonts w:ascii="David" w:hAnsi="David" w:cs="David"/>
                <w:rtl/>
              </w:rPr>
              <w:t xml:space="preserve"> את התוצאה הרצויה</w:t>
            </w:r>
            <w:r w:rsidRPr="00D469C2">
              <w:rPr>
                <w:rFonts w:ascii="David" w:hAnsi="David" w:cs="David" w:hint="cs"/>
                <w:rtl/>
              </w:rPr>
              <w:t xml:space="preserve"> = </w:t>
            </w:r>
            <w:r w:rsidRPr="00D469C2">
              <w:rPr>
                <w:rFonts w:ascii="David" w:hAnsi="David" w:cs="David"/>
                <w:rtl/>
              </w:rPr>
              <w:t xml:space="preserve"> חיים יהודיים מלאים ומאוזנים.</w:t>
            </w:r>
          </w:p>
          <w:p w14:paraId="5499AE6F" w14:textId="77777777" w:rsidR="00D469C2" w:rsidRPr="00D469C2" w:rsidRDefault="00D469C2" w:rsidP="00D469C2">
            <w:pPr>
              <w:numPr>
                <w:ilvl w:val="0"/>
                <w:numId w:val="22"/>
              </w:numPr>
              <w:spacing w:line="264" w:lineRule="auto"/>
              <w:ind w:left="360"/>
              <w:rPr>
                <w:rFonts w:ascii="David" w:hAnsi="David" w:cs="David"/>
              </w:rPr>
            </w:pPr>
            <w:r w:rsidRPr="00D469C2">
              <w:rPr>
                <w:rFonts w:ascii="David" w:hAnsi="David" w:cs="David"/>
                <w:rtl/>
              </w:rPr>
              <w:t>גם החגים אותם אנו חוגגים משדרים איזון ושילוב</w:t>
            </w:r>
            <w:r w:rsidRPr="00D469C2">
              <w:rPr>
                <w:rFonts w:ascii="David" w:hAnsi="David" w:cs="David" w:hint="cs"/>
                <w:rtl/>
              </w:rPr>
              <w:t>,</w:t>
            </w:r>
            <w:r w:rsidRPr="00D469C2">
              <w:rPr>
                <w:rFonts w:ascii="David" w:hAnsi="David" w:cs="David"/>
                <w:rtl/>
              </w:rPr>
              <w:t xml:space="preserve"> ולא "שלטון" מוחלט של גורם אחד. הרגלים בבסיסם מבטאים ומציינים מועדים חקלאיים קבועים. חג המצות (בלשוננו חג הפסח) הוא קודם כל חג האביב</w:t>
            </w:r>
            <w:r w:rsidRPr="00D469C2">
              <w:rPr>
                <w:rFonts w:ascii="David" w:hAnsi="David" w:cs="David" w:hint="cs"/>
                <w:rtl/>
              </w:rPr>
              <w:t>,</w:t>
            </w:r>
            <w:r w:rsidRPr="00D469C2">
              <w:rPr>
                <w:rFonts w:ascii="David" w:hAnsi="David" w:cs="David"/>
                <w:rtl/>
              </w:rPr>
              <w:t xml:space="preserve">  כמאמר הכתוב "אֶת חַג הַמַּצּוֹת תִּשְׁמֹר שִׁבְעַת יָמִים תֹּאכַל מַצּוֹת כַּאֲשֶׁר </w:t>
            </w:r>
            <w:proofErr w:type="spellStart"/>
            <w:r w:rsidRPr="00D469C2">
              <w:rPr>
                <w:rFonts w:ascii="David" w:hAnsi="David" w:cs="David"/>
                <w:rtl/>
              </w:rPr>
              <w:t>צִוִּיתִך</w:t>
            </w:r>
            <w:proofErr w:type="spellEnd"/>
            <w:r w:rsidRPr="00D469C2">
              <w:rPr>
                <w:rFonts w:ascii="David" w:hAnsi="David" w:cs="David"/>
                <w:rtl/>
              </w:rPr>
              <w:t>ָ לְמוֹעֵד חֹדֶשׁ הָאָבִיב". קציר השעורה והחיטה קשורים לאביב. רק אחר כך</w:t>
            </w:r>
            <w:r w:rsidRPr="00D469C2">
              <w:rPr>
                <w:rFonts w:ascii="David" w:hAnsi="David" w:cs="David" w:hint="cs"/>
                <w:rtl/>
              </w:rPr>
              <w:t>,</w:t>
            </w:r>
            <w:r w:rsidRPr="00D469C2">
              <w:rPr>
                <w:rFonts w:ascii="David" w:hAnsi="David" w:cs="David"/>
                <w:rtl/>
              </w:rPr>
              <w:t xml:space="preserve"> על בסיס זה</w:t>
            </w:r>
            <w:r w:rsidRPr="00D469C2">
              <w:rPr>
                <w:rFonts w:ascii="David" w:hAnsi="David" w:cs="David" w:hint="cs"/>
                <w:rtl/>
              </w:rPr>
              <w:t>,</w:t>
            </w:r>
            <w:r w:rsidRPr="00D469C2">
              <w:rPr>
                <w:rFonts w:ascii="David" w:hAnsi="David" w:cs="David"/>
                <w:rtl/>
              </w:rPr>
              <w:t xml:space="preserve"> מקבל החג משמעות רוחנית של ציון הגאולה ממצרים</w:t>
            </w:r>
            <w:r w:rsidRPr="00D469C2">
              <w:rPr>
                <w:rFonts w:ascii="David" w:hAnsi="David" w:cs="David" w:hint="cs"/>
                <w:rtl/>
              </w:rPr>
              <w:t>,</w:t>
            </w:r>
            <w:r w:rsidRPr="00D469C2">
              <w:rPr>
                <w:rFonts w:ascii="David" w:hAnsi="David" w:cs="David"/>
                <w:rtl/>
              </w:rPr>
              <w:t xml:space="preserve"> שיש לה משמעות רוחנית עצומה בחיינו</w:t>
            </w:r>
            <w:r w:rsidRPr="00D469C2">
              <w:rPr>
                <w:rFonts w:ascii="David" w:hAnsi="David" w:cs="David" w:hint="cs"/>
                <w:rtl/>
              </w:rPr>
              <w:t>:</w:t>
            </w:r>
            <w:r w:rsidRPr="00D469C2">
              <w:rPr>
                <w:rFonts w:ascii="David" w:hAnsi="David" w:cs="David"/>
                <w:rtl/>
              </w:rPr>
              <w:t xml:space="preserve"> "כִּי בוֹ יָצָאתָ מִמִּצְרָיִם..." (שמות </w:t>
            </w:r>
            <w:proofErr w:type="spellStart"/>
            <w:r w:rsidRPr="00D469C2">
              <w:rPr>
                <w:rFonts w:ascii="David" w:hAnsi="David" w:cs="David"/>
                <w:rtl/>
              </w:rPr>
              <w:t>כג</w:t>
            </w:r>
            <w:proofErr w:type="spellEnd"/>
            <w:r w:rsidRPr="00D469C2">
              <w:rPr>
                <w:rFonts w:ascii="David" w:hAnsi="David" w:cs="David"/>
                <w:rtl/>
              </w:rPr>
              <w:t xml:space="preserve">, טו). גם חג השבועות הוא "וְחַג שָׁבֻעֹת תַּעֲשֶׂה לְךָ בִּכּוּרֵי קְצִיר </w:t>
            </w:r>
            <w:proofErr w:type="spellStart"/>
            <w:r w:rsidRPr="00D469C2">
              <w:rPr>
                <w:rFonts w:ascii="David" w:hAnsi="David" w:cs="David"/>
                <w:rtl/>
              </w:rPr>
              <w:t>חִטִּים</w:t>
            </w:r>
            <w:proofErr w:type="spellEnd"/>
            <w:r w:rsidRPr="00D469C2">
              <w:rPr>
                <w:rFonts w:ascii="David" w:hAnsi="David" w:cs="David"/>
                <w:rtl/>
              </w:rPr>
              <w:t xml:space="preserve">" (שמות לד, </w:t>
            </w:r>
            <w:proofErr w:type="spellStart"/>
            <w:r w:rsidRPr="00D469C2">
              <w:rPr>
                <w:rFonts w:ascii="David" w:hAnsi="David" w:cs="David"/>
                <w:rtl/>
              </w:rPr>
              <w:t>כב</w:t>
            </w:r>
            <w:proofErr w:type="spellEnd"/>
            <w:r w:rsidRPr="00D469C2">
              <w:rPr>
                <w:rFonts w:ascii="David" w:hAnsi="David" w:cs="David"/>
                <w:rtl/>
              </w:rPr>
              <w:t>), זמן התחלת הבאת הביכורים משבעת המינים</w:t>
            </w:r>
            <w:r w:rsidRPr="00D469C2">
              <w:rPr>
                <w:rFonts w:ascii="David" w:hAnsi="David" w:cs="David" w:hint="cs"/>
                <w:rtl/>
              </w:rPr>
              <w:t>,</w:t>
            </w:r>
            <w:r w:rsidRPr="00D469C2">
              <w:rPr>
                <w:rFonts w:ascii="David" w:hAnsi="David" w:cs="David"/>
                <w:rtl/>
              </w:rPr>
              <w:t xml:space="preserve"> ועל בסיס זה הוא מקבל משמעות של "זמן מתן </w:t>
            </w:r>
            <w:proofErr w:type="spellStart"/>
            <w:r w:rsidRPr="00D469C2">
              <w:rPr>
                <w:rFonts w:ascii="David" w:hAnsi="David" w:cs="David"/>
                <w:rtl/>
              </w:rPr>
              <w:t>תורתינו</w:t>
            </w:r>
            <w:proofErr w:type="spellEnd"/>
            <w:r w:rsidRPr="00D469C2">
              <w:rPr>
                <w:rFonts w:ascii="David" w:hAnsi="David" w:cs="David"/>
                <w:rtl/>
              </w:rPr>
              <w:t>". כך גם חג הסוכות שהוא קודם "וְחַג הָאָסִיף תְּקוּפַת הַשָּׁנָה" (שם)</w:t>
            </w:r>
            <w:r w:rsidRPr="00D469C2">
              <w:rPr>
                <w:rFonts w:ascii="David" w:hAnsi="David" w:cs="David" w:hint="cs"/>
                <w:rtl/>
              </w:rPr>
              <w:t>,</w:t>
            </w:r>
            <w:r w:rsidRPr="00D469C2">
              <w:rPr>
                <w:rFonts w:ascii="David" w:hAnsi="David" w:cs="David"/>
                <w:rtl/>
              </w:rPr>
              <w:t xml:space="preserve"> ואז הוא מקבל משמעות רוחנית, ענני הכבוד "לְמַעַן יֵדְעוּ </w:t>
            </w:r>
            <w:proofErr w:type="spellStart"/>
            <w:r w:rsidRPr="00D469C2">
              <w:rPr>
                <w:rFonts w:ascii="David" w:hAnsi="David" w:cs="David"/>
                <w:rtl/>
              </w:rPr>
              <w:t>דֹרֹתֵיכֶם</w:t>
            </w:r>
            <w:proofErr w:type="spellEnd"/>
            <w:r w:rsidRPr="00D469C2">
              <w:rPr>
                <w:rFonts w:ascii="David" w:hAnsi="David" w:cs="David"/>
                <w:rtl/>
              </w:rPr>
              <w:t xml:space="preserve"> כִּי בַסֻּכּוֹת הוֹשַׁבְתִּי אֶת בְּנֵי יִשְׂרָאֵל בְּהוֹצִיאִי אוֹתָם מֵאֶרֶץ מִצְרָיִם אֲנִי ד' </w:t>
            </w:r>
            <w:proofErr w:type="spellStart"/>
            <w:r w:rsidRPr="00D469C2">
              <w:rPr>
                <w:rFonts w:ascii="David" w:hAnsi="David" w:cs="David"/>
                <w:rtl/>
              </w:rPr>
              <w:t>אֱלֹקיכֶם</w:t>
            </w:r>
            <w:proofErr w:type="spellEnd"/>
            <w:r w:rsidRPr="00D469C2">
              <w:rPr>
                <w:rFonts w:ascii="David" w:hAnsi="David" w:cs="David"/>
                <w:rtl/>
              </w:rPr>
              <w:t xml:space="preserve">" (ויקרא </w:t>
            </w:r>
            <w:proofErr w:type="spellStart"/>
            <w:r w:rsidRPr="00D469C2">
              <w:rPr>
                <w:rFonts w:ascii="David" w:hAnsi="David" w:cs="David"/>
                <w:rtl/>
              </w:rPr>
              <w:t>כג</w:t>
            </w:r>
            <w:proofErr w:type="spellEnd"/>
            <w:r w:rsidRPr="00D469C2">
              <w:rPr>
                <w:rFonts w:ascii="David" w:hAnsi="David" w:cs="David"/>
                <w:rtl/>
              </w:rPr>
              <w:t xml:space="preserve">, מג). המסר הוא </w:t>
            </w:r>
            <w:r w:rsidRPr="00D469C2">
              <w:rPr>
                <w:rFonts w:ascii="David" w:hAnsi="David" w:cs="David" w:hint="cs"/>
                <w:rtl/>
              </w:rPr>
              <w:t xml:space="preserve">כי </w:t>
            </w:r>
            <w:r w:rsidRPr="00D469C2">
              <w:rPr>
                <w:rFonts w:ascii="David" w:hAnsi="David" w:cs="David"/>
                <w:rtl/>
              </w:rPr>
              <w:t xml:space="preserve">התורה היא </w:t>
            </w:r>
            <w:r w:rsidRPr="00D469C2">
              <w:rPr>
                <w:rFonts w:ascii="David" w:hAnsi="David" w:cs="David" w:hint="cs"/>
                <w:rtl/>
              </w:rPr>
              <w:t>'</w:t>
            </w:r>
            <w:r w:rsidRPr="00D469C2">
              <w:rPr>
                <w:rFonts w:ascii="David" w:hAnsi="David" w:cs="David"/>
                <w:rtl/>
              </w:rPr>
              <w:t>תורת חיים</w:t>
            </w:r>
            <w:r w:rsidRPr="00D469C2">
              <w:rPr>
                <w:rFonts w:ascii="David" w:hAnsi="David" w:cs="David" w:hint="cs"/>
                <w:rtl/>
              </w:rPr>
              <w:t>'</w:t>
            </w:r>
            <w:r w:rsidRPr="00D469C2">
              <w:rPr>
                <w:rFonts w:ascii="David" w:hAnsi="David" w:cs="David"/>
                <w:rtl/>
              </w:rPr>
              <w:t xml:space="preserve"> ש</w:t>
            </w:r>
            <w:r w:rsidRPr="00D469C2">
              <w:rPr>
                <w:rFonts w:ascii="David" w:hAnsi="David" w:cs="David" w:hint="cs"/>
                <w:rtl/>
              </w:rPr>
              <w:t>נ</w:t>
            </w:r>
            <w:r w:rsidRPr="00D469C2">
              <w:rPr>
                <w:rFonts w:ascii="David" w:hAnsi="David" w:cs="David"/>
                <w:rtl/>
              </w:rPr>
              <w:t>ית</w:t>
            </w:r>
            <w:r w:rsidRPr="00D469C2">
              <w:rPr>
                <w:rFonts w:ascii="David" w:hAnsi="David" w:cs="David" w:hint="cs"/>
                <w:rtl/>
              </w:rPr>
              <w:t>נ</w:t>
            </w:r>
            <w:r w:rsidRPr="00D469C2">
              <w:rPr>
                <w:rFonts w:ascii="David" w:hAnsi="David" w:cs="David"/>
                <w:rtl/>
              </w:rPr>
              <w:t>ה לאנשים עם שתי רגליים על הקרקע</w:t>
            </w:r>
            <w:r w:rsidRPr="00D469C2">
              <w:rPr>
                <w:rFonts w:ascii="David" w:hAnsi="David" w:cs="David" w:hint="cs"/>
                <w:rtl/>
              </w:rPr>
              <w:t>,</w:t>
            </w:r>
            <w:r w:rsidRPr="00D469C2">
              <w:rPr>
                <w:rFonts w:ascii="David" w:hAnsi="David" w:cs="David"/>
                <w:rtl/>
              </w:rPr>
              <w:t xml:space="preserve"> שעובדים את אדמתם ולא סומכים על הנס או על הצדקה. ראשם צריך לשאוף לשמים, לזכות לענני הכבוד והשכנת שכינה</w:t>
            </w:r>
            <w:r w:rsidRPr="00D469C2">
              <w:rPr>
                <w:rFonts w:ascii="David" w:hAnsi="David" w:cs="David" w:hint="cs"/>
                <w:rtl/>
              </w:rPr>
              <w:t>,</w:t>
            </w:r>
            <w:r w:rsidRPr="00D469C2">
              <w:rPr>
                <w:rFonts w:ascii="David" w:hAnsi="David" w:cs="David"/>
                <w:rtl/>
              </w:rPr>
              <w:t xml:space="preserve"> ולהקדים את הרוח לגשם. השילוב </w:t>
            </w:r>
            <w:r w:rsidRPr="00D469C2">
              <w:rPr>
                <w:rFonts w:ascii="David" w:hAnsi="David" w:cs="David" w:hint="cs"/>
                <w:rtl/>
              </w:rPr>
              <w:t xml:space="preserve">בין בנין הארץ והשאיפות הרוחניות </w:t>
            </w:r>
            <w:r w:rsidRPr="00D469C2">
              <w:rPr>
                <w:rFonts w:ascii="David" w:hAnsi="David" w:cs="David"/>
                <w:rtl/>
              </w:rPr>
              <w:t>הוא דרך החיים המועדפת לכלל.</w:t>
            </w:r>
          </w:p>
          <w:p w14:paraId="26C5AB46" w14:textId="77777777" w:rsidR="00D469C2" w:rsidRPr="00D469C2" w:rsidRDefault="00D469C2" w:rsidP="00D469C2">
            <w:pPr>
              <w:numPr>
                <w:ilvl w:val="0"/>
                <w:numId w:val="22"/>
              </w:numPr>
              <w:spacing w:line="264" w:lineRule="auto"/>
              <w:ind w:left="360"/>
              <w:rPr>
                <w:rFonts w:ascii="David" w:hAnsi="David" w:cs="David"/>
              </w:rPr>
            </w:pPr>
            <w:r w:rsidRPr="00D469C2">
              <w:rPr>
                <w:rFonts w:ascii="David" w:hAnsi="David" w:cs="David"/>
                <w:rtl/>
              </w:rPr>
              <w:t>הלוח העברי איננו רק גורם מאחד מבחינת ציון המועדים והחופשה מהעבודה</w:t>
            </w:r>
            <w:r w:rsidRPr="00D469C2">
              <w:rPr>
                <w:rFonts w:ascii="David" w:hAnsi="David" w:cs="David" w:hint="cs"/>
                <w:rtl/>
              </w:rPr>
              <w:t>,</w:t>
            </w:r>
            <w:r w:rsidRPr="00D469C2">
              <w:rPr>
                <w:rFonts w:ascii="David" w:hAnsi="David" w:cs="David"/>
                <w:rtl/>
              </w:rPr>
              <w:t xml:space="preserve"> שהיא חלק מעולם החול. הלוח העברי מבטא את הרעיון שניתן לחזור בפועל אל הימים שהתקדשו בעבר. בכל שנה צריך לקדש מחדש את הזמן. זה כוחו של עם ישראל</w:t>
            </w:r>
            <w:r w:rsidRPr="00D469C2">
              <w:rPr>
                <w:rFonts w:ascii="David" w:hAnsi="David" w:cs="David" w:hint="cs"/>
                <w:rtl/>
              </w:rPr>
              <w:t>,</w:t>
            </w:r>
            <w:r w:rsidRPr="00D469C2">
              <w:rPr>
                <w:rFonts w:ascii="David" w:hAnsi="David" w:cs="David"/>
                <w:rtl/>
              </w:rPr>
              <w:t xml:space="preserve"> שהוא ורק הוא</w:t>
            </w:r>
            <w:r w:rsidRPr="00D469C2">
              <w:rPr>
                <w:rFonts w:ascii="David" w:hAnsi="David" w:cs="David" w:hint="cs"/>
                <w:rtl/>
              </w:rPr>
              <w:t>,</w:t>
            </w:r>
            <w:r w:rsidRPr="00D469C2">
              <w:rPr>
                <w:rFonts w:ascii="David" w:hAnsi="David" w:cs="David"/>
                <w:rtl/>
              </w:rPr>
              <w:t xml:space="preserve"> מקדש את החודש ומתוך כך</w:t>
            </w:r>
            <w:r w:rsidRPr="00D469C2">
              <w:rPr>
                <w:rFonts w:ascii="David" w:hAnsi="David" w:cs="David" w:hint="cs"/>
                <w:rtl/>
              </w:rPr>
              <w:t>,</w:t>
            </w:r>
            <w:r w:rsidRPr="00D469C2">
              <w:rPr>
                <w:rFonts w:ascii="David" w:hAnsi="David" w:cs="David"/>
                <w:rtl/>
              </w:rPr>
              <w:t xml:space="preserve"> הוא ורק הוא</w:t>
            </w:r>
            <w:r w:rsidRPr="00D469C2">
              <w:rPr>
                <w:rFonts w:ascii="David" w:hAnsi="David" w:cs="David" w:hint="cs"/>
                <w:rtl/>
              </w:rPr>
              <w:t>,</w:t>
            </w:r>
            <w:r w:rsidRPr="00D469C2">
              <w:rPr>
                <w:rFonts w:ascii="David" w:hAnsi="David" w:cs="David"/>
                <w:rtl/>
              </w:rPr>
              <w:t xml:space="preserve"> מקדש את הזמנים. כך אנו מדגישים בנוסח התפילה, "מקדש ישראל והזמנים". ישראל הם מקדשי הזמן, כך אנו צועדים בדרך שסללו לנו אבותינו ומחדשים אותה, כמאמרו של הראי"ה זצ"ל "הישן יתחדש והחדש יתקדש".</w:t>
            </w:r>
          </w:p>
          <w:p w14:paraId="084852D5" w14:textId="77777777" w:rsidR="00D469C2" w:rsidRPr="00D469C2" w:rsidRDefault="00D469C2" w:rsidP="00D469C2">
            <w:pPr>
              <w:spacing w:line="264" w:lineRule="auto"/>
              <w:rPr>
                <w:rFonts w:ascii="David" w:hAnsi="David" w:cs="David"/>
                <w:sz w:val="16"/>
                <w:szCs w:val="16"/>
                <w:rtl/>
              </w:rPr>
            </w:pPr>
          </w:p>
          <w:p w14:paraId="2DD0BA36" w14:textId="5735F63B" w:rsidR="00D469C2" w:rsidRDefault="00D469C2" w:rsidP="00D469C2">
            <w:pPr>
              <w:spacing w:line="264" w:lineRule="auto"/>
              <w:jc w:val="center"/>
              <w:rPr>
                <w:rFonts w:ascii="David" w:hAnsi="David" w:cs="David"/>
                <w:rtl/>
              </w:rPr>
            </w:pPr>
            <w:r w:rsidRPr="00D469C2">
              <w:rPr>
                <w:rFonts w:ascii="David" w:hAnsi="David" w:cs="David"/>
                <w:rtl/>
              </w:rPr>
              <w:t>הבה נתפלל להתחדשות עולם הרבה יותר מתוקן, הרשע יעלם, החטופים יחזרו, הנחמה תרבה,</w:t>
            </w:r>
          </w:p>
          <w:p w14:paraId="63E805DE" w14:textId="4C341471" w:rsidR="00D469C2" w:rsidRDefault="00D469C2" w:rsidP="00D469C2">
            <w:pPr>
              <w:spacing w:line="264" w:lineRule="auto"/>
              <w:jc w:val="center"/>
              <w:rPr>
                <w:rFonts w:ascii="David" w:hAnsi="David" w:cs="David"/>
                <w:rtl/>
              </w:rPr>
            </w:pPr>
            <w:r w:rsidRPr="00D469C2">
              <w:rPr>
                <w:rFonts w:ascii="David" w:hAnsi="David" w:cs="David"/>
                <w:rtl/>
              </w:rPr>
              <w:t>אביב רוחני ילווה את האביב של התחדשות עולם הטבע בארץ ישראל</w:t>
            </w:r>
            <w:r w:rsidRPr="00D469C2">
              <w:rPr>
                <w:rFonts w:ascii="David" w:hAnsi="David" w:cs="David" w:hint="cs"/>
                <w:rtl/>
              </w:rPr>
              <w:t>,</w:t>
            </w:r>
          </w:p>
          <w:p w14:paraId="599E63E8" w14:textId="3B847778" w:rsidR="00D469C2" w:rsidRPr="00D469C2" w:rsidRDefault="00D469C2" w:rsidP="00D469C2">
            <w:pPr>
              <w:spacing w:line="264" w:lineRule="auto"/>
              <w:jc w:val="center"/>
              <w:rPr>
                <w:rFonts w:ascii="David" w:hAnsi="David" w:cs="David"/>
                <w:rtl/>
              </w:rPr>
            </w:pPr>
            <w:r w:rsidRPr="00D469C2">
              <w:rPr>
                <w:rFonts w:ascii="David" w:hAnsi="David" w:cs="David"/>
                <w:rtl/>
              </w:rPr>
              <w:t>שבה גם בנ</w:t>
            </w:r>
            <w:r w:rsidRPr="00D469C2">
              <w:rPr>
                <w:rFonts w:ascii="David" w:hAnsi="David" w:cs="David" w:hint="cs"/>
                <w:rtl/>
              </w:rPr>
              <w:t>י</w:t>
            </w:r>
            <w:r w:rsidRPr="00D469C2">
              <w:rPr>
                <w:rFonts w:ascii="David" w:hAnsi="David" w:cs="David"/>
                <w:rtl/>
              </w:rPr>
              <w:t>ינה החומרי הוא חלק מהמציאות הרוחנית הקדושה.</w:t>
            </w:r>
          </w:p>
          <w:p w14:paraId="4A2E8D9B" w14:textId="77777777" w:rsidR="00D67B86" w:rsidRPr="00D67B86" w:rsidRDefault="00D67B86" w:rsidP="00C06AF2">
            <w:pPr>
              <w:pStyle w:val="aff7"/>
              <w:tabs>
                <w:tab w:val="left" w:pos="282"/>
              </w:tabs>
              <w:spacing w:after="0" w:line="259" w:lineRule="auto"/>
              <w:ind w:left="282" w:hanging="282"/>
              <w:rPr>
                <w:rFonts w:ascii="David" w:hAnsi="David" w:cs="David" w:hint="cs"/>
                <w:sz w:val="10"/>
                <w:szCs w:val="10"/>
              </w:rPr>
            </w:pPr>
          </w:p>
          <w:p w14:paraId="74F2C644" w14:textId="77777777" w:rsidR="00C06AF2" w:rsidRPr="00D67B86" w:rsidRDefault="00C06AF2" w:rsidP="000F1AE1">
            <w:pPr>
              <w:spacing w:line="360" w:lineRule="auto"/>
              <w:jc w:val="center"/>
              <w:rPr>
                <w:rFonts w:ascii="David" w:hAnsi="David" w:cs="David"/>
                <w:noProof/>
                <w:color w:val="0000FF"/>
                <w:sz w:val="10"/>
                <w:szCs w:val="10"/>
                <w:rtl/>
              </w:rPr>
            </w:pPr>
          </w:p>
          <w:p w14:paraId="3281717A" w14:textId="1B8FC12E" w:rsidR="000F1AE1" w:rsidRDefault="001969F8" w:rsidP="000F1AE1">
            <w:pPr>
              <w:spacing w:line="360" w:lineRule="auto"/>
              <w:jc w:val="center"/>
              <w:rPr>
                <w:rFonts w:ascii="David" w:hAnsi="David" w:cs="David"/>
                <w:color w:val="1F497D"/>
                <w:sz w:val="12"/>
                <w:szCs w:val="12"/>
                <w:rtl/>
              </w:rPr>
            </w:pPr>
            <w:r w:rsidRPr="007B4150">
              <w:rPr>
                <w:rFonts w:ascii="David" w:hAnsi="David" w:cs="David"/>
                <w:noProof/>
                <w:color w:val="0000FF"/>
                <w:sz w:val="22"/>
                <w:szCs w:val="22"/>
                <w:rtl/>
              </w:rPr>
              <w:t>(</w:t>
            </w:r>
            <w:hyperlink r:id="rId12"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D9E550B" w14:textId="77777777" w:rsidR="006F0561" w:rsidRDefault="006F0561" w:rsidP="000F1AE1">
            <w:pPr>
              <w:spacing w:line="360" w:lineRule="auto"/>
              <w:jc w:val="center"/>
              <w:rPr>
                <w:rFonts w:ascii="David" w:hAnsi="David" w:cs="David"/>
                <w:color w:val="1F497D"/>
                <w:sz w:val="12"/>
                <w:szCs w:val="12"/>
                <w:rtl/>
              </w:rPr>
            </w:pPr>
          </w:p>
          <w:p w14:paraId="6442F351" w14:textId="77777777" w:rsidR="000F1AE1" w:rsidRPr="000F1AE1" w:rsidRDefault="000F1AE1" w:rsidP="000F1AE1">
            <w:pPr>
              <w:jc w:val="center"/>
              <w:rPr>
                <w:rFonts w:ascii="David" w:hAnsi="David" w:cs="David"/>
                <w:color w:val="1F497D"/>
                <w:sz w:val="6"/>
                <w:szCs w:val="6"/>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4"/>
              <w:gridCol w:w="13"/>
              <w:gridCol w:w="270"/>
              <w:gridCol w:w="142"/>
              <w:gridCol w:w="709"/>
              <w:gridCol w:w="702"/>
              <w:gridCol w:w="15"/>
              <w:gridCol w:w="129"/>
              <w:gridCol w:w="146"/>
              <w:gridCol w:w="425"/>
              <w:gridCol w:w="709"/>
              <w:gridCol w:w="277"/>
              <w:gridCol w:w="7"/>
              <w:gridCol w:w="149"/>
              <w:gridCol w:w="1418"/>
              <w:gridCol w:w="268"/>
              <w:gridCol w:w="575"/>
              <w:gridCol w:w="283"/>
              <w:gridCol w:w="142"/>
              <w:gridCol w:w="291"/>
              <w:gridCol w:w="410"/>
              <w:gridCol w:w="1858"/>
              <w:gridCol w:w="281"/>
            </w:tblGrid>
            <w:tr w:rsidR="00A6414A" w:rsidRPr="00A6414A" w14:paraId="2568EBA3" w14:textId="77777777" w:rsidTr="00A6414A">
              <w:trPr>
                <w:trHeight w:val="273"/>
              </w:trPr>
              <w:tc>
                <w:tcPr>
                  <w:tcW w:w="3804" w:type="dxa"/>
                  <w:gridSpan w:val="8"/>
                  <w:tcMar>
                    <w:top w:w="0" w:type="dxa"/>
                    <w:left w:w="108" w:type="dxa"/>
                    <w:bottom w:w="0" w:type="dxa"/>
                    <w:right w:w="108" w:type="dxa"/>
                  </w:tcMar>
                  <w:vAlign w:val="center"/>
                </w:tcPr>
                <w:p w14:paraId="3DF52FB6" w14:textId="77777777" w:rsidR="00A6414A" w:rsidRPr="00A6414A" w:rsidRDefault="00A6414A" w:rsidP="00A6414A">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7239" w:type="dxa"/>
                  <w:gridSpan w:val="15"/>
                  <w:vAlign w:val="center"/>
                </w:tcPr>
                <w:p w14:paraId="02342480" w14:textId="77777777" w:rsidR="00A6414A" w:rsidRPr="00A6414A" w:rsidRDefault="00A6414A" w:rsidP="00A6414A">
                  <w:pPr>
                    <w:keepNext/>
                    <w:keepLines/>
                    <w:ind w:right="694"/>
                    <w:contextualSpacing/>
                    <w:jc w:val="center"/>
                    <w:outlineLvl w:val="0"/>
                    <w:rPr>
                      <w:rFonts w:ascii="David" w:hAnsi="David" w:cs="David"/>
                      <w:b/>
                      <w:bCs/>
                      <w:color w:val="2E74B5"/>
                      <w:sz w:val="32"/>
                      <w:szCs w:val="32"/>
                      <w:rtl/>
                    </w:rPr>
                  </w:pPr>
                  <w:proofErr w:type="spellStart"/>
                  <w:r w:rsidRPr="00A6414A">
                    <w:rPr>
                      <w:rFonts w:ascii="David" w:eastAsia="Calibri" w:hAnsi="David" w:cs="David"/>
                      <w:color w:val="0070C0"/>
                      <w:sz w:val="21"/>
                      <w:szCs w:val="21"/>
                      <w:rtl/>
                    </w:rPr>
                    <w:t>לע"נ</w:t>
                  </w:r>
                  <w:proofErr w:type="spellEnd"/>
                  <w:r w:rsidRPr="00A6414A">
                    <w:rPr>
                      <w:rFonts w:ascii="David" w:eastAsia="Calibri" w:hAnsi="David" w:cs="David"/>
                      <w:color w:val="0070C0"/>
                      <w:sz w:val="21"/>
                      <w:szCs w:val="21"/>
                      <w:rtl/>
                    </w:rPr>
                    <w:t xml:space="preserve"> </w:t>
                  </w:r>
                  <w:r w:rsidRPr="00A6414A">
                    <w:rPr>
                      <w:rFonts w:ascii="David" w:eastAsia="Calibri" w:hAnsi="David" w:cs="David"/>
                      <w:b/>
                      <w:bCs/>
                      <w:color w:val="0070C0"/>
                      <w:sz w:val="26"/>
                      <w:szCs w:val="26"/>
                      <w:rtl/>
                    </w:rPr>
                    <w:t>הנופלים במערכה</w:t>
                  </w:r>
                  <w:r w:rsidRPr="00A6414A">
                    <w:rPr>
                      <w:rFonts w:ascii="David" w:eastAsia="Calibri" w:hAnsi="David" w:cs="David" w:hint="cs"/>
                      <w:b/>
                      <w:bCs/>
                      <w:color w:val="0070C0"/>
                      <w:sz w:val="26"/>
                      <w:szCs w:val="26"/>
                      <w:rtl/>
                    </w:rPr>
                    <w:t xml:space="preserve"> </w:t>
                  </w:r>
                  <w:r w:rsidRPr="00A6414A">
                    <w:rPr>
                      <w:rFonts w:ascii="David" w:eastAsia="Calibri" w:hAnsi="David" w:cs="David"/>
                      <w:b/>
                      <w:bCs/>
                      <w:color w:val="0070C0"/>
                      <w:sz w:val="26"/>
                      <w:szCs w:val="26"/>
                      <w:rtl/>
                    </w:rPr>
                    <w:t>על הגנת המולדת</w:t>
                  </w:r>
                  <w:r w:rsidRPr="00A6414A">
                    <w:rPr>
                      <w:rFonts w:ascii="David" w:eastAsia="Calibri" w:hAnsi="David" w:cs="David"/>
                      <w:color w:val="0070C0"/>
                      <w:sz w:val="21"/>
                      <w:szCs w:val="21"/>
                      <w:rtl/>
                      <w:lang w:eastAsia="he-IL"/>
                    </w:rPr>
                    <w:t xml:space="preserve"> </w:t>
                  </w:r>
                  <w:r w:rsidRPr="00A6414A">
                    <w:rPr>
                      <w:rFonts w:ascii="David" w:eastAsia="Calibri" w:hAnsi="David" w:cs="David"/>
                      <w:color w:val="0070C0"/>
                      <w:sz w:val="21"/>
                      <w:szCs w:val="21"/>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A6414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5"/>
                  <w:vAlign w:val="center"/>
                </w:tcPr>
                <w:p w14:paraId="42C295CC"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A6414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A6414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2"/>
                  <w:vAlign w:val="center"/>
                </w:tcPr>
                <w:p w14:paraId="37822EA7"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A6414A">
              <w:trPr>
                <w:trHeight w:val="427"/>
              </w:trPr>
              <w:tc>
                <w:tcPr>
                  <w:tcW w:w="2249" w:type="dxa"/>
                  <w:gridSpan w:val="4"/>
                  <w:tcMar>
                    <w:top w:w="0" w:type="dxa"/>
                    <w:left w:w="108" w:type="dxa"/>
                    <w:bottom w:w="0" w:type="dxa"/>
                    <w:right w:w="108" w:type="dxa"/>
                  </w:tcMar>
                  <w:vAlign w:val="center"/>
                  <w:hideMark/>
                </w:tcPr>
                <w:p w14:paraId="52292184" w14:textId="77777777" w:rsidR="00A6414A" w:rsidRPr="00A6414A" w:rsidRDefault="00A6414A" w:rsidP="00A6414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6" w:type="dxa"/>
                  <w:gridSpan w:val="6"/>
                  <w:vAlign w:val="center"/>
                </w:tcPr>
                <w:p w14:paraId="4FE0BD65" w14:textId="77777777" w:rsidR="00A6414A" w:rsidRPr="00A6414A" w:rsidRDefault="00A6414A" w:rsidP="00A6414A">
                  <w:pPr>
                    <w:ind w:right="269"/>
                    <w:contextualSpacing/>
                    <w:jc w:val="center"/>
                    <w:rPr>
                      <w:rFonts w:ascii="David" w:eastAsia="Calibri" w:hAnsi="David" w:cs="David"/>
                      <w:b/>
                      <w:bCs/>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שלמה </w:t>
                  </w:r>
                  <w:proofErr w:type="spellStart"/>
                  <w:r w:rsidRPr="00A6414A">
                    <w:rPr>
                      <w:rFonts w:ascii="David" w:eastAsia="Calibri" w:hAnsi="David" w:cs="David"/>
                      <w:b/>
                      <w:bCs/>
                      <w:color w:val="002060"/>
                      <w:sz w:val="19"/>
                      <w:szCs w:val="19"/>
                      <w:rtl/>
                    </w:rPr>
                    <w:t>מרזל</w:t>
                  </w:r>
                  <w:proofErr w:type="spellEnd"/>
                </w:p>
                <w:p w14:paraId="7BCEB51D" w14:textId="77777777" w:rsidR="00A6414A" w:rsidRPr="00A6414A" w:rsidRDefault="00A6414A" w:rsidP="00A6414A">
                  <w:pPr>
                    <w:ind w:left="34"/>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 באייר תשע"א</w:t>
                  </w:r>
                </w:p>
              </w:tc>
              <w:tc>
                <w:tcPr>
                  <w:tcW w:w="3403" w:type="dxa"/>
                  <w:gridSpan w:val="7"/>
                  <w:vAlign w:val="center"/>
                  <w:hideMark/>
                </w:tcPr>
                <w:p w14:paraId="4407092E" w14:textId="77777777" w:rsidR="00A6414A" w:rsidRPr="00A6414A" w:rsidRDefault="00A6414A" w:rsidP="00A6414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A6414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6"/>
                  <w:tcMar>
                    <w:top w:w="0" w:type="dxa"/>
                    <w:left w:w="108" w:type="dxa"/>
                    <w:bottom w:w="0" w:type="dxa"/>
                    <w:right w:w="108" w:type="dxa"/>
                  </w:tcMar>
                  <w:vAlign w:val="center"/>
                </w:tcPr>
                <w:p w14:paraId="2FA7A12D" w14:textId="77777777" w:rsidR="00A6414A" w:rsidRPr="00A6414A" w:rsidRDefault="00A6414A" w:rsidP="00A6414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A6414A">
              <w:trPr>
                <w:trHeight w:val="431"/>
              </w:trPr>
              <w:tc>
                <w:tcPr>
                  <w:tcW w:w="2107" w:type="dxa"/>
                  <w:gridSpan w:val="3"/>
                  <w:tcMar>
                    <w:top w:w="0" w:type="dxa"/>
                    <w:left w:w="108" w:type="dxa"/>
                    <w:bottom w:w="0" w:type="dxa"/>
                    <w:right w:w="108" w:type="dxa"/>
                  </w:tcMar>
                  <w:vAlign w:val="center"/>
                </w:tcPr>
                <w:p w14:paraId="17458165"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ט"ז בכסלו / אלול </w:t>
                  </w:r>
                  <w:proofErr w:type="spellStart"/>
                  <w:r w:rsidRPr="00A6414A">
                    <w:rPr>
                      <w:rFonts w:ascii="David" w:eastAsia="Calibri" w:hAnsi="David" w:cs="David"/>
                      <w:color w:val="000000"/>
                      <w:sz w:val="19"/>
                      <w:szCs w:val="19"/>
                      <w:rtl/>
                    </w:rPr>
                    <w:t>תש"ף</w:t>
                  </w:r>
                  <w:proofErr w:type="spellEnd"/>
                </w:p>
              </w:tc>
              <w:tc>
                <w:tcPr>
                  <w:tcW w:w="1843" w:type="dxa"/>
                  <w:gridSpan w:val="6"/>
                  <w:vAlign w:val="center"/>
                </w:tcPr>
                <w:p w14:paraId="6C97D536"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6B7647D" w14:textId="77777777" w:rsidR="00A6414A" w:rsidRPr="00A6414A" w:rsidRDefault="00A6414A" w:rsidP="00A6414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A6414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A6414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4"/>
                  <w:tcMar>
                    <w:top w:w="0" w:type="dxa"/>
                    <w:left w:w="108" w:type="dxa"/>
                    <w:bottom w:w="0" w:type="dxa"/>
                    <w:right w:w="108" w:type="dxa"/>
                  </w:tcMar>
                  <w:vAlign w:val="center"/>
                </w:tcPr>
                <w:p w14:paraId="0E593F67" w14:textId="77777777" w:rsidR="00A6414A" w:rsidRPr="00A6414A" w:rsidRDefault="00A6414A" w:rsidP="00A6414A">
                  <w:pPr>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A6414A">
              <w:trPr>
                <w:trHeight w:val="453"/>
              </w:trPr>
              <w:tc>
                <w:tcPr>
                  <w:tcW w:w="2958" w:type="dxa"/>
                  <w:gridSpan w:val="5"/>
                  <w:vAlign w:val="center"/>
                  <w:hideMark/>
                </w:tcPr>
                <w:p w14:paraId="2321447A" w14:textId="77777777" w:rsidR="00A6414A" w:rsidRPr="00A6414A" w:rsidRDefault="00A6414A" w:rsidP="00A6414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A6414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77777777" w:rsidR="00A6414A" w:rsidRPr="00A6414A" w:rsidRDefault="00A6414A" w:rsidP="00A6414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A6414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A6414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A6414A">
                  <w:pPr>
                    <w:spacing w:after="120"/>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5"/>
                  <w:vAlign w:val="center"/>
                </w:tcPr>
                <w:p w14:paraId="75BDAC98" w14:textId="77777777" w:rsidR="004F0AE5" w:rsidRPr="004F0AE5" w:rsidRDefault="004F0AE5" w:rsidP="004F0AE5">
                  <w:pPr>
                    <w:ind w:left="59" w:right="72"/>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4F0AE5">
                  <w:pPr>
                    <w:ind w:left="59" w:right="72"/>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A6414A">
              <w:trPr>
                <w:trHeight w:val="556"/>
              </w:trPr>
              <w:tc>
                <w:tcPr>
                  <w:tcW w:w="1837" w:type="dxa"/>
                  <w:gridSpan w:val="2"/>
                  <w:vAlign w:val="center"/>
                </w:tcPr>
                <w:p w14:paraId="6AC13226" w14:textId="77777777" w:rsidR="00A6414A" w:rsidRPr="00A6414A" w:rsidRDefault="00A6414A" w:rsidP="00A6414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A6414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838" w:type="dxa"/>
                  <w:gridSpan w:val="5"/>
                  <w:vAlign w:val="center"/>
                </w:tcPr>
                <w:p w14:paraId="754633C8"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A6414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842" w:type="dxa"/>
                  <w:gridSpan w:val="7"/>
                  <w:vAlign w:val="center"/>
                </w:tcPr>
                <w:p w14:paraId="4BB5D6D4" w14:textId="77777777" w:rsidR="00A6414A" w:rsidRPr="00A6414A" w:rsidRDefault="00A6414A" w:rsidP="00A6414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A6414A">
                  <w:pPr>
                    <w:ind w:left="59" w:right="72"/>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418" w:type="dxa"/>
                  <w:vAlign w:val="center"/>
                </w:tcPr>
                <w:p w14:paraId="75B0E2AF" w14:textId="77777777" w:rsidR="00A6414A" w:rsidRPr="00A6414A" w:rsidRDefault="00A6414A" w:rsidP="00A6414A">
                  <w:pPr>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A6414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559" w:type="dxa"/>
                  <w:gridSpan w:val="5"/>
                  <w:vAlign w:val="center"/>
                </w:tcPr>
                <w:p w14:paraId="652087B2" w14:textId="77777777" w:rsidR="00A6414A" w:rsidRPr="00A6414A" w:rsidRDefault="00A6414A" w:rsidP="00A6414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A6414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2268" w:type="dxa"/>
                  <w:gridSpan w:val="2"/>
                  <w:vAlign w:val="center"/>
                </w:tcPr>
                <w:p w14:paraId="7A1BED74" w14:textId="77777777" w:rsidR="00A6414A" w:rsidRPr="00A6414A" w:rsidRDefault="00A6414A" w:rsidP="00A6414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1C717906" w14:textId="77777777" w:rsidR="00A6414A" w:rsidRPr="00A6414A" w:rsidRDefault="00A6414A" w:rsidP="00A6414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מנחם אב תשפ"ד</w:t>
                  </w:r>
                </w:p>
              </w:tc>
              <w:tc>
                <w:tcPr>
                  <w:tcW w:w="281" w:type="dxa"/>
                  <w:vAlign w:val="center"/>
                </w:tcPr>
                <w:p w14:paraId="483C94A6" w14:textId="77777777" w:rsidR="00A6414A" w:rsidRPr="00A6414A" w:rsidRDefault="00A6414A" w:rsidP="00A6414A">
                  <w:pPr>
                    <w:ind w:right="-57"/>
                    <w:contextualSpacing/>
                    <w:jc w:val="center"/>
                    <w:rPr>
                      <w:sz w:val="19"/>
                      <w:szCs w:val="19"/>
                      <w:rtl/>
                    </w:rPr>
                  </w:pP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5B0CB318">
            <wp:simplePos x="0" y="0"/>
            <wp:positionH relativeFrom="page">
              <wp:posOffset>82550</wp:posOffset>
            </wp:positionH>
            <wp:positionV relativeFrom="paragraph">
              <wp:posOffset>6854248</wp:posOffset>
            </wp:positionV>
            <wp:extent cx="7435214" cy="2228850"/>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35214" cy="2228850"/>
                    </a:xfrm>
                    <a:prstGeom prst="rect">
                      <a:avLst/>
                    </a:prstGeom>
                    <a:noFill/>
                  </pic:spPr>
                </pic:pic>
              </a:graphicData>
            </a:graphic>
            <wp14:sizeRelH relativeFrom="page">
              <wp14:pctWidth>0</wp14:pctWidth>
            </wp14:sizeRelH>
            <wp14:sizeRelV relativeFrom="page">
              <wp14:pctHeight>0</wp14:pctHeight>
            </wp14:sizeRelV>
          </wp:anchor>
        </w:drawing>
      </w:r>
    </w:p>
    <w:p w14:paraId="00C2CE97" w14:textId="77777777" w:rsidR="00B275CF" w:rsidRDefault="00B275CF" w:rsidP="00F52A2A">
      <w:pPr>
        <w:contextualSpacing/>
        <w:jc w:val="center"/>
        <w:rPr>
          <w:rFonts w:ascii="Arial" w:eastAsia="Calibri" w:hAnsi="Arial" w:cs="Arial"/>
          <w:b/>
          <w:bCs/>
          <w:color w:val="C00000"/>
          <w:sz w:val="20"/>
          <w:szCs w:val="20"/>
          <w:rtl/>
        </w:rPr>
      </w:pPr>
    </w:p>
    <w:p w14:paraId="2E94EE8C" w14:textId="40686A4C"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757C491" w:rsidR="00D63DE1" w:rsidRDefault="00D469C2" w:rsidP="00DF5AEC">
      <w:pPr>
        <w:bidi w:val="0"/>
        <w:jc w:val="center"/>
        <w:rPr>
          <w:rFonts w:ascii="Calibri" w:eastAsia="Calibri" w:hAnsi="Calibri" w:cs="David"/>
          <w:b/>
          <w:bCs/>
          <w:sz w:val="28"/>
          <w:szCs w:val="28"/>
        </w:rPr>
      </w:pPr>
      <w:hyperlink r:id="rId14"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5"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1B65779B" w14:textId="11C770C9" w:rsidR="00B275CF" w:rsidRDefault="00A874A6" w:rsidP="00B275CF">
      <w:pPr>
        <w:bidi w:val="0"/>
        <w:jc w:val="center"/>
        <w:rPr>
          <w:rFonts w:ascii="Calibri" w:eastAsia="Calibri" w:hAnsi="Calibri" w:cs="David"/>
          <w:b/>
          <w:bCs/>
          <w:sz w:val="28"/>
          <w:szCs w:val="28"/>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67082BC8">
            <wp:simplePos x="0" y="0"/>
            <wp:positionH relativeFrom="margin">
              <wp:posOffset>4558665</wp:posOffset>
            </wp:positionH>
            <wp:positionV relativeFrom="paragraph">
              <wp:posOffset>-136525</wp:posOffset>
            </wp:positionV>
            <wp:extent cx="2461260" cy="542290"/>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1260" cy="542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64CD0458" w14:textId="49158279" w:rsidR="00DF5AEC" w:rsidRPr="00A874A6" w:rsidRDefault="00DF5AEC" w:rsidP="00A201C6">
      <w:pPr>
        <w:contextualSpacing/>
        <w:rPr>
          <w:rFonts w:ascii="David" w:eastAsia="Calibri" w:hAnsi="David" w:cs="David"/>
          <w:sz w:val="16"/>
          <w:szCs w:val="16"/>
        </w:rPr>
      </w:pPr>
    </w:p>
    <w:p w14:paraId="7A42E887" w14:textId="35CC3F58" w:rsidR="003A385E" w:rsidRPr="00D63DE1" w:rsidRDefault="003A385E" w:rsidP="00A874A6">
      <w:pPr>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A874A6">
      <w:pPr>
        <w:ind w:left="-2"/>
        <w:contextualSpacing/>
        <w:rPr>
          <w:rFonts w:ascii="David" w:eastAsia="Calibri" w:hAnsi="David" w:cs="David"/>
          <w:sz w:val="8"/>
          <w:szCs w:val="8"/>
          <w:rtl/>
        </w:rPr>
      </w:pPr>
    </w:p>
    <w:p w14:paraId="62248C86" w14:textId="77777777" w:rsidR="00A874A6" w:rsidRPr="00A874A6" w:rsidRDefault="00A874A6" w:rsidP="00A874A6">
      <w:pPr>
        <w:keepNext/>
        <w:keepLines/>
        <w:contextualSpacing/>
        <w:outlineLvl w:val="0"/>
        <w:rPr>
          <w:rFonts w:ascii="David" w:hAnsi="David" w:cs="David"/>
          <w:b/>
          <w:bCs/>
          <w:color w:val="0070C0"/>
          <w:kern w:val="2"/>
          <w:sz w:val="32"/>
          <w:szCs w:val="32"/>
          <w14:ligatures w14:val="standardContextual"/>
        </w:rPr>
      </w:pPr>
      <w:r w:rsidRPr="00A874A6">
        <w:rPr>
          <w:rFonts w:ascii="David" w:hAnsi="David" w:cs="David" w:hint="cs"/>
          <w:b/>
          <w:bCs/>
          <w:color w:val="0070C0"/>
          <w:kern w:val="2"/>
          <w:sz w:val="32"/>
          <w:szCs w:val="32"/>
          <w:rtl/>
          <w14:ligatures w14:val="standardContextual"/>
        </w:rPr>
        <w:t>זימון כאשר לא כולם מברכים</w:t>
      </w:r>
    </w:p>
    <w:p w14:paraId="2F2FDC21" w14:textId="77777777" w:rsidR="00A874A6" w:rsidRPr="00A874A6" w:rsidRDefault="00A874A6" w:rsidP="00A874A6">
      <w:pPr>
        <w:rPr>
          <w:rFonts w:ascii="David" w:eastAsia="Calibri" w:hAnsi="David" w:cs="David"/>
          <w:sz w:val="16"/>
          <w:szCs w:val="16"/>
          <w:rtl/>
        </w:rPr>
      </w:pPr>
    </w:p>
    <w:p w14:paraId="5A1CA398"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במסכת ברכות (דף מה ע"ב) אומר רבא שאם שלושה אוכלים יחד, אחד מפסיק לשניים, ואין שניים מפסיקים לאחד. אך לפנים משורת הדין האחד רשאי להפסיק עבור שניים, כפי שהיה עושה רב </w:t>
      </w:r>
      <w:proofErr w:type="spellStart"/>
      <w:r w:rsidRPr="00A874A6">
        <w:rPr>
          <w:rFonts w:ascii="David" w:eastAsia="Calibri" w:hAnsi="David" w:cs="David"/>
          <w:rtl/>
        </w:rPr>
        <w:t>פפא</w:t>
      </w:r>
      <w:proofErr w:type="spellEnd"/>
      <w:r w:rsidRPr="00A874A6">
        <w:rPr>
          <w:rFonts w:ascii="David" w:eastAsia="Calibri" w:hAnsi="David" w:cs="David"/>
          <w:rtl/>
        </w:rPr>
        <w:t>.</w:t>
      </w:r>
    </w:p>
    <w:p w14:paraId="17BCF49C"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בפרק ז מהלכות ברכות הרמב"ם מפרט הלכות רבות בדרך ארץ והלכות בין אדם לחברו בסעודה. בהלכה ו הרמב"ם מביא את ההלכה הזאת, ואומר שאם שלושה אוכלים באותו השלחן, משהפסיקו השניים, על השלישי להפסיק את אכילתו כדי לזמן אתם. </w:t>
      </w:r>
    </w:p>
    <w:p w14:paraId="4700B7D9" w14:textId="77777777" w:rsidR="00A874A6" w:rsidRPr="00A874A6" w:rsidRDefault="00A874A6" w:rsidP="00A874A6">
      <w:pPr>
        <w:rPr>
          <w:rFonts w:ascii="David" w:eastAsia="Calibri" w:hAnsi="David" w:cs="David"/>
          <w:rtl/>
        </w:rPr>
      </w:pPr>
      <w:r w:rsidRPr="00A874A6">
        <w:rPr>
          <w:rFonts w:ascii="David" w:eastAsia="Calibri" w:hAnsi="David" w:cs="David"/>
          <w:rtl/>
        </w:rPr>
        <w:t>רש"י בסוגיה מפרש שאם השניים סיימו את סעודתם ורוצים לזמן, דרך ארץ הוא שהשלישי יפסיק את סעודתו כדי שיוכלו לברך את ברכת הזימון ולברך, ולאחר מכן הוא רשאי לשוב ולסיים את סעודתו.</w:t>
      </w:r>
    </w:p>
    <w:p w14:paraId="0199DBFF"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תלמידי רבינו יונה (המובא במסכת ברכות על דפי </w:t>
      </w:r>
      <w:proofErr w:type="spellStart"/>
      <w:r w:rsidRPr="00A874A6">
        <w:rPr>
          <w:rFonts w:ascii="David" w:eastAsia="Calibri" w:hAnsi="David" w:cs="David"/>
          <w:rtl/>
        </w:rPr>
        <w:t>הרי"ף</w:t>
      </w:r>
      <w:proofErr w:type="spellEnd"/>
      <w:r w:rsidRPr="00A874A6">
        <w:rPr>
          <w:rFonts w:ascii="David" w:eastAsia="Calibri" w:hAnsi="David" w:cs="David"/>
          <w:rtl/>
        </w:rPr>
        <w:t>) אומרים יותר מכך: אין בכך מידת דרך ארץ בלבד, אלא יש חובה לשלישי לעצור את אכילתו ולענות לזימונם של האחרים.</w:t>
      </w:r>
    </w:p>
    <w:p w14:paraId="06998927" w14:textId="77777777" w:rsidR="00A874A6" w:rsidRPr="00A874A6" w:rsidRDefault="00A874A6" w:rsidP="00A874A6">
      <w:pPr>
        <w:rPr>
          <w:rFonts w:ascii="David" w:eastAsia="Calibri" w:hAnsi="David" w:cs="David"/>
        </w:rPr>
      </w:pPr>
      <w:r w:rsidRPr="00A874A6">
        <w:rPr>
          <w:rFonts w:ascii="David" w:eastAsia="Calibri" w:hAnsi="David" w:cs="David"/>
          <w:rtl/>
        </w:rPr>
        <w:t>אם הזימון הוא הקדמה לברכת המזון בלבד, מה משמעות המענה על הזימון? לכאורה הזימון כשמו כן הוא: נועד לזמן את המסובים לברכת המזון. לפי הרמב"ם זהו אכן מה שקורה: השניים מסיימים את אכילתם, ועל השלישי מוטל לעצור את אכילתו גם הוא. אבן האזל מבין שבמקרה של הרמב"ם אחד מהשניים יזמן, והשלישי יהיה חייב לברך את כל ברכת המזון יחד עם שני האחרים. כאמור, היגיון רב יש בדבר: אם זימנו אותך לברך, עליך לברך.</w:t>
      </w:r>
    </w:p>
    <w:p w14:paraId="4B2F4388"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אך כאמור, רש"י </w:t>
      </w:r>
      <w:proofErr w:type="spellStart"/>
      <w:r w:rsidRPr="00A874A6">
        <w:rPr>
          <w:rFonts w:ascii="David" w:eastAsia="Calibri" w:hAnsi="David" w:cs="David"/>
          <w:rtl/>
        </w:rPr>
        <w:t>ותר"י</w:t>
      </w:r>
      <w:proofErr w:type="spellEnd"/>
      <w:r w:rsidRPr="00A874A6">
        <w:rPr>
          <w:rFonts w:ascii="David" w:eastAsia="Calibri" w:hAnsi="David" w:cs="David"/>
          <w:rtl/>
        </w:rPr>
        <w:t xml:space="preserve"> אומרים שהוא רשאי לענות ולהמשיך באכילתו (לפי רש"י מדין דרך ארץ ולפי תר"י מחובת הזימון, ככל הנראה). מה משמעות הזימון אם האדם מיד ממשיך לאכול?</w:t>
      </w:r>
    </w:p>
    <w:p w14:paraId="6F3E9DBD"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על </w:t>
      </w:r>
      <w:proofErr w:type="spellStart"/>
      <w:r w:rsidRPr="00A874A6">
        <w:rPr>
          <w:rFonts w:ascii="David" w:eastAsia="Calibri" w:hAnsi="David" w:cs="David"/>
          <w:rtl/>
        </w:rPr>
        <w:t>כרחנו</w:t>
      </w:r>
      <w:proofErr w:type="spellEnd"/>
      <w:r w:rsidRPr="00A874A6">
        <w:rPr>
          <w:rFonts w:ascii="David" w:eastAsia="Calibri" w:hAnsi="David" w:cs="David"/>
          <w:rtl/>
        </w:rPr>
        <w:t xml:space="preserve"> שהזימון נושא תוכן עצמאי. הוא אינו רק מכין אותנו לברכת המזון, אלא גם מודה לקב"ה על משהו.</w:t>
      </w:r>
    </w:p>
    <w:p w14:paraId="50365ABD"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הצענו בשבועות האחרונים שהזימון נועד להודות לקב"ה על הנאת האכילה המשותפת. לכאורה כך יש לבאר את שיטת רש"י </w:t>
      </w:r>
      <w:proofErr w:type="spellStart"/>
      <w:r w:rsidRPr="00A874A6">
        <w:rPr>
          <w:rFonts w:ascii="David" w:eastAsia="Calibri" w:hAnsi="David" w:cs="David"/>
          <w:rtl/>
        </w:rPr>
        <w:t>ותר"י</w:t>
      </w:r>
      <w:proofErr w:type="spellEnd"/>
      <w:r w:rsidRPr="00A874A6">
        <w:rPr>
          <w:rFonts w:ascii="David" w:eastAsia="Calibri" w:hAnsi="David" w:cs="David"/>
          <w:rtl/>
        </w:rPr>
        <w:t>: השלישי עונה ומברך את הקב"ה על האכילה המשותפת. לאחר מכן הוא ימשיך באכילתו, ובסוף האכילה, אחרי ששני האחרים כבר עזבו, הוא יברך את הקב"ה על האוכל שאכל. זו הודאה נפרדת שניתן להודות עליה בנפרד.</w:t>
      </w:r>
    </w:p>
    <w:p w14:paraId="5043E0E5" w14:textId="77777777" w:rsidR="00A874A6" w:rsidRPr="00A874A6" w:rsidRDefault="00A874A6" w:rsidP="00A874A6">
      <w:pPr>
        <w:rPr>
          <w:rFonts w:ascii="David" w:eastAsia="Calibri" w:hAnsi="David" w:cs="David"/>
          <w:rtl/>
        </w:rPr>
      </w:pPr>
      <w:proofErr w:type="spellStart"/>
      <w:r w:rsidRPr="00A874A6">
        <w:rPr>
          <w:rFonts w:ascii="David" w:eastAsia="Calibri" w:hAnsi="David" w:cs="David"/>
          <w:rtl/>
        </w:rPr>
        <w:t>הרשב"א</w:t>
      </w:r>
      <w:proofErr w:type="spellEnd"/>
      <w:r w:rsidRPr="00A874A6">
        <w:rPr>
          <w:rFonts w:ascii="David" w:eastAsia="Calibri" w:hAnsi="David" w:cs="David"/>
          <w:rtl/>
        </w:rPr>
        <w:t xml:space="preserve"> אומר עוד מעבר לכך: נניח שהשלישי אינו רוצה לברך. לפי הראשונים האחרים, הם ייאלצו להמתין לכך שיענה לזימון. אך </w:t>
      </w:r>
      <w:proofErr w:type="spellStart"/>
      <w:r w:rsidRPr="00A874A6">
        <w:rPr>
          <w:rFonts w:ascii="David" w:eastAsia="Calibri" w:hAnsi="David" w:cs="David"/>
          <w:rtl/>
        </w:rPr>
        <w:t>הרשב"א</w:t>
      </w:r>
      <w:proofErr w:type="spellEnd"/>
      <w:r w:rsidRPr="00A874A6">
        <w:rPr>
          <w:rFonts w:ascii="David" w:eastAsia="Calibri" w:hAnsi="David" w:cs="David"/>
          <w:rtl/>
        </w:rPr>
        <w:t xml:space="preserve"> אומר שאם השלישי אינו עונה, שני האחרים רשאים לזמן, בין אם הוא יענה ובין אם לאו. כיצד? לכאורה התשובה היא ששני האחרים מודים לקב"ה על האכילה המשותפת. הם זקוקים לנוכחות שלו כדי שהזימון יכלול את שלושה אוכלים, אך אין צורך בברכה שלו. הרי ההודאה על האכילה המשותפת היא על האכילה המשותפת, לא על הברכה המשותפת.</w:t>
      </w:r>
    </w:p>
    <w:p w14:paraId="5717A208" w14:textId="77777777" w:rsidR="00A874A6" w:rsidRPr="00A874A6" w:rsidRDefault="00A874A6" w:rsidP="00A874A6">
      <w:pPr>
        <w:rPr>
          <w:rFonts w:ascii="David" w:eastAsia="Calibri" w:hAnsi="David" w:cs="David"/>
          <w:sz w:val="16"/>
          <w:szCs w:val="16"/>
        </w:rPr>
      </w:pPr>
    </w:p>
    <w:p w14:paraId="40AFFBE0" w14:textId="77777777" w:rsidR="00A874A6" w:rsidRPr="00A874A6" w:rsidRDefault="00A874A6" w:rsidP="00A874A6">
      <w:pPr>
        <w:keepNext/>
        <w:keepLines/>
        <w:contextualSpacing/>
        <w:outlineLvl w:val="2"/>
        <w:rPr>
          <w:rFonts w:ascii="David" w:hAnsi="David" w:cs="David"/>
          <w:b/>
          <w:bCs/>
          <w:color w:val="1F3763"/>
          <w:rtl/>
        </w:rPr>
      </w:pPr>
      <w:r w:rsidRPr="00A874A6">
        <w:rPr>
          <w:rFonts w:ascii="David" w:hAnsi="David" w:cs="David" w:hint="cs"/>
          <w:b/>
          <w:bCs/>
          <w:color w:val="1F3763"/>
          <w:rtl/>
        </w:rPr>
        <w:t>אחד שביקש לברך</w:t>
      </w:r>
    </w:p>
    <w:p w14:paraId="3A5E9A97"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נשוב לרב </w:t>
      </w:r>
      <w:proofErr w:type="spellStart"/>
      <w:r w:rsidRPr="00A874A6">
        <w:rPr>
          <w:rFonts w:ascii="David" w:eastAsia="Calibri" w:hAnsi="David" w:cs="David"/>
          <w:rtl/>
        </w:rPr>
        <w:t>פפא</w:t>
      </w:r>
      <w:proofErr w:type="spellEnd"/>
      <w:r w:rsidRPr="00A874A6">
        <w:rPr>
          <w:rFonts w:ascii="David" w:eastAsia="Calibri" w:hAnsi="David" w:cs="David"/>
          <w:rtl/>
        </w:rPr>
        <w:t>, שהפסיק כאשר אחד סיים לאכול.</w:t>
      </w:r>
    </w:p>
    <w:p w14:paraId="5A5D6101"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לפי הרמב"ם הכוונה היא שמצד הנימוס רב </w:t>
      </w:r>
      <w:proofErr w:type="spellStart"/>
      <w:r w:rsidRPr="00A874A6">
        <w:rPr>
          <w:rFonts w:ascii="David" w:eastAsia="Calibri" w:hAnsi="David" w:cs="David"/>
          <w:rtl/>
        </w:rPr>
        <w:t>פפא</w:t>
      </w:r>
      <w:proofErr w:type="spellEnd"/>
      <w:r w:rsidRPr="00A874A6">
        <w:rPr>
          <w:rFonts w:ascii="David" w:eastAsia="Calibri" w:hAnsi="David" w:cs="David"/>
          <w:rtl/>
        </w:rPr>
        <w:t xml:space="preserve"> החליט להפסיק את סעודתו ברגע שאחד הסועדים הפסיק. כאמור, אין לכך קשר להלכות זימון, וכפי שהצענו, יתכן ולשיטתו לא יתכן קשר להלכות זימון: זימון הוא הכנת המסובים לברכת המזון. אם האחרים אינם מוכנים לברכת המזון, אי אפשר "לזמן" אותם לכך.</w:t>
      </w:r>
    </w:p>
    <w:p w14:paraId="4B5F4E83"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אך </w:t>
      </w:r>
      <w:proofErr w:type="spellStart"/>
      <w:r w:rsidRPr="00A874A6">
        <w:rPr>
          <w:rFonts w:ascii="David" w:eastAsia="Calibri" w:hAnsi="David" w:cs="David"/>
          <w:rtl/>
        </w:rPr>
        <w:t>הרשב"א</w:t>
      </w:r>
      <w:proofErr w:type="spellEnd"/>
      <w:r w:rsidRPr="00A874A6">
        <w:rPr>
          <w:rFonts w:ascii="David" w:eastAsia="Calibri" w:hAnsi="David" w:cs="David"/>
          <w:rtl/>
        </w:rPr>
        <w:t xml:space="preserve">, כאמור, הבין </w:t>
      </w:r>
      <w:proofErr w:type="spellStart"/>
      <w:r w:rsidRPr="00A874A6">
        <w:rPr>
          <w:rFonts w:ascii="David" w:eastAsia="Calibri" w:hAnsi="David" w:cs="David"/>
          <w:rtl/>
        </w:rPr>
        <w:t>שהסוגיה</w:t>
      </w:r>
      <w:proofErr w:type="spellEnd"/>
      <w:r w:rsidRPr="00A874A6">
        <w:rPr>
          <w:rFonts w:ascii="David" w:eastAsia="Calibri" w:hAnsi="David" w:cs="David"/>
          <w:rtl/>
        </w:rPr>
        <w:t xml:space="preserve"> עוסקת בזימון. אך הוא מתלבט מה יהיה הדין אם האחד סיים את סעודתו ורוצה ללכת. הוא אומר שלכאורה יהיה עליו לשכנע את האחרים שיענו לזימון שלו. אך רב האי גאון אומר שהוא יברך וילך ללא זימון (ומדברי האחרונים נראה שזו שיטה מקובלת בקרב הגאונים). מדוע?</w:t>
      </w:r>
    </w:p>
    <w:p w14:paraId="2253C7B1" w14:textId="77777777" w:rsidR="00A874A6" w:rsidRPr="00A874A6" w:rsidRDefault="00A874A6" w:rsidP="00A874A6">
      <w:pPr>
        <w:rPr>
          <w:rFonts w:ascii="David" w:eastAsia="Calibri" w:hAnsi="David" w:cs="David"/>
          <w:rtl/>
        </w:rPr>
      </w:pPr>
      <w:r w:rsidRPr="00A874A6">
        <w:rPr>
          <w:rFonts w:ascii="David" w:eastAsia="Calibri" w:hAnsi="David" w:cs="David"/>
          <w:rtl/>
        </w:rPr>
        <w:t>הבית יוסף מצמצם את העניין, ואומר שאם לאדם עשוי להגיע הפסד אם לא ילך, והאחרים אינם מסכימים לענות לזימון, לא יתכן שהם יכבלו אותו ויגרמו לו להפסד.</w:t>
      </w:r>
    </w:p>
    <w:p w14:paraId="03208B73"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אך </w:t>
      </w:r>
      <w:proofErr w:type="spellStart"/>
      <w:r w:rsidRPr="00A874A6">
        <w:rPr>
          <w:rFonts w:ascii="David" w:eastAsia="Calibri" w:hAnsi="David" w:cs="David"/>
          <w:rtl/>
        </w:rPr>
        <w:t>הב"ח</w:t>
      </w:r>
      <w:proofErr w:type="spellEnd"/>
      <w:r w:rsidRPr="00A874A6">
        <w:rPr>
          <w:rFonts w:ascii="David" w:eastAsia="Calibri" w:hAnsi="David" w:cs="David"/>
          <w:rtl/>
        </w:rPr>
        <w:t xml:space="preserve"> חולק על טענה זו, ואומר שכוונת הגאונים לעניין עקרוני: </w:t>
      </w:r>
      <w:proofErr w:type="spellStart"/>
      <w:r w:rsidRPr="00A874A6">
        <w:rPr>
          <w:rFonts w:ascii="David" w:eastAsia="Calibri" w:hAnsi="David" w:cs="David"/>
          <w:rtl/>
        </w:rPr>
        <w:t>הב"ח</w:t>
      </w:r>
      <w:proofErr w:type="spellEnd"/>
      <w:r w:rsidRPr="00A874A6">
        <w:rPr>
          <w:rFonts w:ascii="David" w:eastAsia="Calibri" w:hAnsi="David" w:cs="David"/>
          <w:rtl/>
        </w:rPr>
        <w:t xml:space="preserve"> מסביר שלפי שיטת הגאונים, חובת הזימון חלה כאשר שניים מתוך השלושה רוצים </w:t>
      </w:r>
      <w:r w:rsidRPr="00A874A6">
        <w:rPr>
          <w:rFonts w:ascii="David" w:eastAsia="Calibri" w:hAnsi="David" w:cs="David"/>
          <w:b/>
          <w:bCs/>
          <w:rtl/>
        </w:rPr>
        <w:t>לברך</w:t>
      </w:r>
      <w:r w:rsidRPr="00A874A6">
        <w:rPr>
          <w:rFonts w:ascii="David" w:eastAsia="Calibri" w:hAnsi="David" w:cs="David"/>
          <w:rtl/>
        </w:rPr>
        <w:t>. הרי זו המהות של הזימון: להזמין את האחרים לברכת המזון. אם האחרים אינם מברכים, אין בכך "זימון", וממילא חובת הזימון אינה חלה.</w:t>
      </w:r>
    </w:p>
    <w:p w14:paraId="12926C75"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ראוי להדגיש ששיטת הגאונים (ע"פ </w:t>
      </w:r>
      <w:proofErr w:type="spellStart"/>
      <w:r w:rsidRPr="00A874A6">
        <w:rPr>
          <w:rFonts w:ascii="David" w:eastAsia="Calibri" w:hAnsi="David" w:cs="David"/>
          <w:rtl/>
        </w:rPr>
        <w:t>הב"ח</w:t>
      </w:r>
      <w:proofErr w:type="spellEnd"/>
      <w:r w:rsidRPr="00A874A6">
        <w:rPr>
          <w:rFonts w:ascii="David" w:eastAsia="Calibri" w:hAnsi="David" w:cs="David"/>
          <w:rtl/>
        </w:rPr>
        <w:t>)</w:t>
      </w:r>
      <w:r w:rsidRPr="00A874A6">
        <w:rPr>
          <w:rFonts w:ascii="David" w:eastAsia="Calibri" w:hAnsi="David" w:cs="David"/>
        </w:rPr>
        <w:t xml:space="preserve"> </w:t>
      </w:r>
      <w:r w:rsidRPr="00A874A6">
        <w:rPr>
          <w:rFonts w:ascii="David" w:eastAsia="Calibri" w:hAnsi="David" w:cs="David"/>
          <w:rtl/>
        </w:rPr>
        <w:t>היא הצד ההפוך של השיטה שעסקנו בה עד כה. אם הזימון הוא הודאה לקב"ה על הישיבה המשותפת, חובתה חלה מעת שאכלו יחד. לפי הגאונים החובה חלה רק בעת ההכנה לברכת המזון. מה שאומר שלשיטתם הזימון הוא הכנת המסובים לברכת המזון, בלבד. לכן היא חלה רק כאשר הם מוכנים לברכת המזון.</w:t>
      </w:r>
    </w:p>
    <w:p w14:paraId="16578865" w14:textId="77777777" w:rsidR="00A874A6" w:rsidRPr="00A874A6" w:rsidRDefault="00A874A6" w:rsidP="00A874A6">
      <w:pPr>
        <w:rPr>
          <w:rFonts w:ascii="David" w:eastAsia="Calibri" w:hAnsi="David" w:cs="David"/>
          <w:rtl/>
        </w:rPr>
      </w:pPr>
      <w:r w:rsidRPr="00A874A6">
        <w:rPr>
          <w:rFonts w:ascii="David" w:eastAsia="Calibri" w:hAnsi="David" w:cs="David"/>
          <w:rtl/>
        </w:rPr>
        <w:t>למעשה המשנה ברורה פוסק כבית יוסף, שמבחינה עקרונית יש לשכנע את האחרים לענות לזימון, ואם הם מסרבים מותר לברך ללא זימון רק אם יש חשש שעיכוב יגרום להפסד.</w:t>
      </w:r>
    </w:p>
    <w:p w14:paraId="37184489" w14:textId="77777777" w:rsidR="00A874A6" w:rsidRPr="00A874A6" w:rsidRDefault="00A874A6" w:rsidP="00A874A6">
      <w:pPr>
        <w:rPr>
          <w:rFonts w:ascii="David" w:eastAsia="Calibri" w:hAnsi="David" w:cs="David"/>
          <w:sz w:val="16"/>
          <w:szCs w:val="16"/>
        </w:rPr>
      </w:pPr>
    </w:p>
    <w:p w14:paraId="390A1E4D" w14:textId="77777777" w:rsidR="00A874A6" w:rsidRPr="00A874A6" w:rsidRDefault="00A874A6" w:rsidP="00A874A6">
      <w:pPr>
        <w:keepNext/>
        <w:keepLines/>
        <w:contextualSpacing/>
        <w:outlineLvl w:val="2"/>
        <w:rPr>
          <w:rFonts w:ascii="David" w:hAnsi="David" w:cs="David"/>
          <w:b/>
          <w:bCs/>
          <w:color w:val="1F3763"/>
          <w:rtl/>
        </w:rPr>
      </w:pPr>
      <w:r w:rsidRPr="00A874A6">
        <w:rPr>
          <w:rFonts w:ascii="David" w:hAnsi="David" w:cs="David" w:hint="cs"/>
          <w:b/>
          <w:bCs/>
          <w:color w:val="1F3763"/>
          <w:rtl/>
        </w:rPr>
        <w:t>תנאי להתנתק מהזימון המרכזי</w:t>
      </w:r>
    </w:p>
    <w:p w14:paraId="54394457" w14:textId="77777777" w:rsidR="00A874A6" w:rsidRPr="00A874A6" w:rsidRDefault="00A874A6" w:rsidP="00A874A6">
      <w:pPr>
        <w:rPr>
          <w:rFonts w:ascii="David" w:eastAsia="Calibri" w:hAnsi="David" w:cs="David"/>
          <w:rtl/>
        </w:rPr>
      </w:pPr>
      <w:r w:rsidRPr="00A874A6">
        <w:rPr>
          <w:rFonts w:ascii="David" w:eastAsia="Calibri" w:hAnsi="David" w:cs="David"/>
          <w:rtl/>
        </w:rPr>
        <w:t>הבעיה הזאת נפוצה מאוד. אדם מגיע לחתונה ויודע שהיא תמשך זמן ארוך ביותר אחרי שהוא ירצה לצאת (יש לציין שבחתונות רבות משתתפים מאות אנשים, אך ברכת המזון והשבע ברכות מתעכבים עד שעה מאוחרת מאוד, ופעמים שבקושי מצליחים לכנס מניין לשבע ברכות. כמובן שמן הראוי לקבוע את ברכת המזון בזמן מוקדם יותר בכדי לזכות את הציבור בברכת המזון של הנישואין). הפוסקים נשאלו אם יש פתרון למצב הזה.</w:t>
      </w:r>
    </w:p>
    <w:p w14:paraId="33FFABAD"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רב גדול שאל את הרב </w:t>
      </w:r>
      <w:proofErr w:type="spellStart"/>
      <w:r w:rsidRPr="00A874A6">
        <w:rPr>
          <w:rFonts w:ascii="David" w:eastAsia="Calibri" w:hAnsi="David" w:cs="David"/>
          <w:rtl/>
        </w:rPr>
        <w:t>פיינשטיין</w:t>
      </w:r>
      <w:proofErr w:type="spellEnd"/>
      <w:r w:rsidRPr="00A874A6">
        <w:rPr>
          <w:rFonts w:ascii="David" w:eastAsia="Calibri" w:hAnsi="David" w:cs="David"/>
          <w:rtl/>
        </w:rPr>
        <w:t xml:space="preserve"> אם נכון יותר לאכול מיני מזונות בכדי לא להסתפק בחובת הזימון.</w:t>
      </w:r>
    </w:p>
    <w:p w14:paraId="7269DF2A"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הרב </w:t>
      </w:r>
      <w:proofErr w:type="spellStart"/>
      <w:r w:rsidRPr="00A874A6">
        <w:rPr>
          <w:rFonts w:ascii="David" w:eastAsia="Calibri" w:hAnsi="David" w:cs="David"/>
          <w:rtl/>
        </w:rPr>
        <w:t>פיינשטיין</w:t>
      </w:r>
      <w:proofErr w:type="spellEnd"/>
      <w:r w:rsidRPr="00A874A6">
        <w:rPr>
          <w:rFonts w:ascii="David" w:eastAsia="Calibri" w:hAnsi="David" w:cs="David"/>
          <w:rtl/>
        </w:rPr>
        <w:t xml:space="preserve"> מעיר לו שיתכן שיש בכך בעיה, שכן במסגרת סעודה גדולה יתכן שאכילת פת הבאה </w:t>
      </w:r>
      <w:proofErr w:type="spellStart"/>
      <w:r w:rsidRPr="00A874A6">
        <w:rPr>
          <w:rFonts w:ascii="David" w:eastAsia="Calibri" w:hAnsi="David" w:cs="David"/>
          <w:rtl/>
        </w:rPr>
        <w:t>בכיסנין</w:t>
      </w:r>
      <w:proofErr w:type="spellEnd"/>
      <w:r w:rsidRPr="00A874A6">
        <w:rPr>
          <w:rFonts w:ascii="David" w:eastAsia="Calibri" w:hAnsi="David" w:cs="David"/>
          <w:rtl/>
        </w:rPr>
        <w:t xml:space="preserve"> מחייבת בברכת המזון. </w:t>
      </w:r>
    </w:p>
    <w:p w14:paraId="62A34DDC" w14:textId="77777777" w:rsidR="00A874A6" w:rsidRPr="00A874A6" w:rsidRDefault="00A874A6" w:rsidP="00A874A6">
      <w:pPr>
        <w:rPr>
          <w:rFonts w:ascii="David" w:eastAsia="Calibri" w:hAnsi="David" w:cs="David"/>
          <w:rtl/>
        </w:rPr>
      </w:pPr>
      <w:r w:rsidRPr="00A874A6">
        <w:rPr>
          <w:rFonts w:ascii="David" w:eastAsia="Calibri" w:hAnsi="David" w:cs="David"/>
          <w:rtl/>
        </w:rPr>
        <w:t xml:space="preserve">לכן הוא מפנה לתשובה של </w:t>
      </w:r>
      <w:proofErr w:type="spellStart"/>
      <w:r w:rsidRPr="00A874A6">
        <w:rPr>
          <w:rFonts w:ascii="David" w:eastAsia="Calibri" w:hAnsi="David" w:cs="David"/>
          <w:rtl/>
        </w:rPr>
        <w:t>הגר"ש</w:t>
      </w:r>
      <w:proofErr w:type="spellEnd"/>
      <w:r w:rsidRPr="00A874A6">
        <w:rPr>
          <w:rFonts w:ascii="David" w:eastAsia="Calibri" w:hAnsi="David" w:cs="David"/>
          <w:rtl/>
        </w:rPr>
        <w:t xml:space="preserve"> </w:t>
      </w:r>
      <w:proofErr w:type="spellStart"/>
      <w:r w:rsidRPr="00A874A6">
        <w:rPr>
          <w:rFonts w:ascii="David" w:eastAsia="Calibri" w:hAnsi="David" w:cs="David"/>
          <w:rtl/>
        </w:rPr>
        <w:t>קלוגר</w:t>
      </w:r>
      <w:proofErr w:type="spellEnd"/>
      <w:r w:rsidRPr="00A874A6">
        <w:rPr>
          <w:rFonts w:ascii="David" w:eastAsia="Calibri" w:hAnsi="David" w:cs="David"/>
          <w:rtl/>
        </w:rPr>
        <w:t xml:space="preserve"> שאמר שאדם יכול להתנות שהוא אינו מתכוון להתחייב בחובת הזימון, וכך יהיה רשאי לצאת ללא זימון.</w:t>
      </w:r>
    </w:p>
    <w:p w14:paraId="2DEED7A6" w14:textId="77777777" w:rsidR="00A874A6" w:rsidRPr="00A874A6" w:rsidRDefault="00A874A6" w:rsidP="00A874A6">
      <w:pPr>
        <w:rPr>
          <w:rFonts w:ascii="David" w:eastAsia="Calibri" w:hAnsi="David" w:cs="David"/>
          <w:rtl/>
        </w:rPr>
      </w:pPr>
      <w:r w:rsidRPr="00A874A6">
        <w:rPr>
          <w:rFonts w:ascii="David" w:eastAsia="Calibri" w:hAnsi="David" w:cs="David"/>
          <w:rtl/>
        </w:rPr>
        <w:t>יש לבחון את פשר התנאי: האם הכוונה היא שהוא אינו מתכוון ליהנות מהאכילה המשותפת ובכך להיפטר מהודאה עליה? או שמא הכוונה היא כך: אני חפץ להתחייב בברכת המזון מן התורה ולהודות לקב"ה על סעודתי כראוי. אך אם אתחייב כדין הרגיל, זה יסבך אותי בהמשך. לכן מראש אני מגלה דעת שברכת המזון תהיה ללא זימון לברכה, מכיוון שהאפשרות השנייה היא שלא אתחייב ולא אברך כלל.</w:t>
      </w:r>
    </w:p>
    <w:p w14:paraId="3ED3D645" w14:textId="77777777" w:rsidR="00A874A6" w:rsidRPr="00A874A6" w:rsidRDefault="00A874A6" w:rsidP="00A874A6">
      <w:pPr>
        <w:rPr>
          <w:rFonts w:ascii="David" w:eastAsia="Calibri" w:hAnsi="David" w:cs="David"/>
          <w:rtl/>
        </w:rPr>
      </w:pPr>
      <w:r w:rsidRPr="00A874A6">
        <w:rPr>
          <w:rFonts w:ascii="David" w:eastAsia="Calibri" w:hAnsi="David" w:cs="David"/>
          <w:rtl/>
        </w:rPr>
        <w:t>מקובל לסמוך על דבריו להלכה ולמעשה. ברם נראה שהדברים עדיין צריכים חידוד. שנזכה לכוון לדעת התורה.</w:t>
      </w:r>
    </w:p>
    <w:p w14:paraId="5FCFDC2C" w14:textId="77777777" w:rsidR="00A874A6" w:rsidRPr="00A874A6" w:rsidRDefault="00A874A6" w:rsidP="00A874A6">
      <w:pPr>
        <w:rPr>
          <w:rFonts w:ascii="David" w:eastAsia="Calibri" w:hAnsi="David" w:cs="David"/>
          <w:sz w:val="16"/>
          <w:szCs w:val="16"/>
          <w:rtl/>
        </w:rPr>
      </w:pPr>
    </w:p>
    <w:p w14:paraId="68ABB760" w14:textId="77777777" w:rsidR="00A874A6" w:rsidRDefault="00D469C2" w:rsidP="00A874A6">
      <w:pPr>
        <w:contextualSpacing/>
        <w:jc w:val="center"/>
        <w:rPr>
          <w:rFonts w:cs="David"/>
          <w:b/>
          <w:bCs/>
          <w:color w:val="0070C0"/>
          <w:lang w:eastAsia="he-IL"/>
        </w:rPr>
      </w:pPr>
      <w:hyperlink r:id="rId17"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14F69660" w14:textId="31DF3AEA" w:rsidR="0087202D" w:rsidRDefault="009A52D7" w:rsidP="00A874A6">
      <w:pPr>
        <w:contextualSpacing/>
        <w:jc w:val="center"/>
        <w:rPr>
          <w:color w:val="0070C0"/>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bookmarkEnd w:id="0"/>
    <w:p w14:paraId="5C77A1B6" w14:textId="0CEB1963" w:rsidR="00327392" w:rsidRDefault="004D4268" w:rsidP="009A52D7">
      <w:pPr>
        <w:spacing w:line="276" w:lineRule="auto"/>
        <w:ind w:left="-2"/>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2605EE8D">
            <wp:simplePos x="0" y="0"/>
            <wp:positionH relativeFrom="margin">
              <wp:posOffset>3509010</wp:posOffset>
            </wp:positionH>
            <wp:positionV relativeFrom="paragraph">
              <wp:posOffset>-36195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9F785" w14:textId="77777777" w:rsidR="00327392" w:rsidRDefault="00327392" w:rsidP="004D4268">
      <w:pPr>
        <w:contextualSpacing/>
        <w:rPr>
          <w:rFonts w:cs="David"/>
        </w:rPr>
      </w:pPr>
    </w:p>
    <w:p w14:paraId="4CB9FEFF" w14:textId="77777777" w:rsidR="009A52D7" w:rsidRPr="008034CE" w:rsidRDefault="009A52D7" w:rsidP="00CF56CF">
      <w:pPr>
        <w:widowControl w:val="0"/>
        <w:autoSpaceDE w:val="0"/>
        <w:autoSpaceDN w:val="0"/>
        <w:adjustRightInd w:val="0"/>
        <w:contextualSpacing/>
        <w:jc w:val="both"/>
        <w:rPr>
          <w:rFonts w:cs="David"/>
          <w:noProof/>
          <w:rtl/>
        </w:rPr>
      </w:pPr>
    </w:p>
    <w:p w14:paraId="1D99C00D" w14:textId="77777777" w:rsidR="008034CE" w:rsidRPr="008034CE" w:rsidRDefault="008034CE" w:rsidP="008034CE">
      <w:pPr>
        <w:keepNext/>
        <w:outlineLvl w:val="0"/>
        <w:rPr>
          <w:rFonts w:ascii="David" w:hAnsi="David" w:cs="David"/>
        </w:rPr>
      </w:pPr>
      <w:r w:rsidRPr="008034CE">
        <w:rPr>
          <w:rFonts w:ascii="David" w:hAnsi="David" w:cs="David"/>
          <w:rtl/>
        </w:rPr>
        <w:t xml:space="preserve">(מתוך </w:t>
      </w:r>
      <w:proofErr w:type="spellStart"/>
      <w:r w:rsidRPr="008034CE">
        <w:rPr>
          <w:rFonts w:ascii="David" w:hAnsi="David" w:cs="David"/>
          <w:rtl/>
        </w:rPr>
        <w:t>ח"ה</w:t>
      </w:r>
      <w:proofErr w:type="spellEnd"/>
      <w:r w:rsidRPr="008034CE">
        <w:rPr>
          <w:rFonts w:ascii="David" w:hAnsi="David" w:cs="David"/>
          <w:rtl/>
        </w:rPr>
        <w:t>)</w:t>
      </w:r>
    </w:p>
    <w:p w14:paraId="2E697124" w14:textId="77777777" w:rsidR="008034CE" w:rsidRPr="008034CE" w:rsidRDefault="008034CE" w:rsidP="008034CE">
      <w:pPr>
        <w:keepNext/>
        <w:outlineLvl w:val="0"/>
        <w:rPr>
          <w:rFonts w:ascii="David" w:hAnsi="David" w:cs="David"/>
          <w:rtl/>
        </w:rPr>
      </w:pPr>
    </w:p>
    <w:p w14:paraId="1E263152" w14:textId="174D5423" w:rsidR="008034CE" w:rsidRPr="008034CE" w:rsidRDefault="008034CE" w:rsidP="008034CE">
      <w:pPr>
        <w:keepNext/>
        <w:outlineLvl w:val="0"/>
        <w:rPr>
          <w:rFonts w:ascii="David" w:hAnsi="David" w:cs="David"/>
          <w:b/>
          <w:bCs/>
          <w:sz w:val="32"/>
          <w:szCs w:val="32"/>
          <w:rtl/>
        </w:rPr>
      </w:pPr>
      <w:r w:rsidRPr="008034CE">
        <w:rPr>
          <w:rFonts w:ascii="David" w:hAnsi="David" w:cs="David"/>
          <w:b/>
          <w:bCs/>
          <w:sz w:val="32"/>
          <w:szCs w:val="32"/>
          <w:rtl/>
        </w:rPr>
        <w:t xml:space="preserve">טורינו, איטליה                   </w:t>
      </w:r>
      <w:r w:rsidRPr="008034CE">
        <w:rPr>
          <w:rFonts w:ascii="David" w:hAnsi="David" w:cs="David"/>
          <w:b/>
          <w:bCs/>
          <w:sz w:val="32"/>
          <w:szCs w:val="32"/>
          <w:rtl/>
        </w:rPr>
        <w:tab/>
      </w:r>
      <w:r w:rsidRPr="008034CE">
        <w:rPr>
          <w:rFonts w:ascii="David" w:hAnsi="David" w:cs="David"/>
          <w:b/>
          <w:bCs/>
          <w:sz w:val="32"/>
          <w:szCs w:val="32"/>
          <w:rtl/>
        </w:rPr>
        <w:tab/>
      </w:r>
      <w:r w:rsidRPr="008034CE">
        <w:rPr>
          <w:rFonts w:ascii="David" w:hAnsi="David" w:cs="David"/>
          <w:b/>
          <w:bCs/>
          <w:sz w:val="32"/>
          <w:szCs w:val="32"/>
          <w:rtl/>
        </w:rPr>
        <w:tab/>
        <w:t xml:space="preserve">                       </w:t>
      </w:r>
      <w:r w:rsidRPr="008034CE">
        <w:rPr>
          <w:rFonts w:ascii="David" w:hAnsi="David" w:cs="David"/>
          <w:b/>
          <w:bCs/>
          <w:sz w:val="32"/>
          <w:szCs w:val="32"/>
          <w:rtl/>
        </w:rPr>
        <w:tab/>
      </w:r>
      <w:r w:rsidRPr="008034CE">
        <w:rPr>
          <w:rFonts w:ascii="David" w:hAnsi="David" w:cs="David"/>
          <w:b/>
          <w:bCs/>
          <w:sz w:val="32"/>
          <w:szCs w:val="32"/>
          <w:rtl/>
        </w:rPr>
        <w:tab/>
      </w:r>
      <w:r w:rsidRPr="008034CE">
        <w:rPr>
          <w:rFonts w:ascii="David" w:hAnsi="David" w:cs="David"/>
          <w:b/>
          <w:bCs/>
          <w:sz w:val="32"/>
          <w:szCs w:val="32"/>
          <w:rtl/>
        </w:rPr>
        <w:tab/>
      </w:r>
      <w:r w:rsidR="00A874A6">
        <w:rPr>
          <w:rFonts w:ascii="David" w:hAnsi="David" w:cs="David"/>
          <w:b/>
          <w:bCs/>
          <w:sz w:val="32"/>
          <w:szCs w:val="32"/>
        </w:rPr>
        <w:t xml:space="preserve">    </w:t>
      </w:r>
      <w:r w:rsidRPr="008034CE">
        <w:rPr>
          <w:rFonts w:ascii="David" w:hAnsi="David" w:cs="David"/>
          <w:b/>
          <w:bCs/>
          <w:sz w:val="32"/>
          <w:szCs w:val="32"/>
          <w:rtl/>
        </w:rPr>
        <w:t xml:space="preserve">    </w:t>
      </w:r>
      <w:r w:rsidRPr="008034CE">
        <w:rPr>
          <w:rFonts w:ascii="David" w:hAnsi="David" w:cs="David"/>
          <w:b/>
          <w:bCs/>
          <w:sz w:val="32"/>
          <w:szCs w:val="32"/>
        </w:rPr>
        <w:t xml:space="preserve">Torino, Italy </w:t>
      </w:r>
    </w:p>
    <w:p w14:paraId="3A3ED5F4" w14:textId="77777777" w:rsidR="008034CE" w:rsidRPr="008034CE" w:rsidRDefault="008034CE" w:rsidP="008034CE">
      <w:pPr>
        <w:rPr>
          <w:rFonts w:ascii="David" w:hAnsi="David" w:cs="David"/>
          <w:rtl/>
        </w:rPr>
      </w:pPr>
      <w:r w:rsidRPr="008034CE">
        <w:rPr>
          <w:rFonts w:ascii="David" w:hAnsi="David" w:cs="David"/>
          <w:rtl/>
        </w:rPr>
        <w:t>שבט תשס"א</w:t>
      </w:r>
    </w:p>
    <w:p w14:paraId="17A2D034" w14:textId="77777777" w:rsidR="008034CE" w:rsidRPr="008034CE" w:rsidRDefault="008034CE" w:rsidP="008034CE">
      <w:pPr>
        <w:rPr>
          <w:rFonts w:ascii="David" w:hAnsi="David" w:cs="David"/>
          <w:rtl/>
        </w:rPr>
      </w:pPr>
    </w:p>
    <w:p w14:paraId="5C1A1735" w14:textId="77777777" w:rsidR="008034CE" w:rsidRPr="008034CE" w:rsidRDefault="008034CE" w:rsidP="008034CE">
      <w:pPr>
        <w:rPr>
          <w:rFonts w:ascii="David" w:hAnsi="David" w:cs="David"/>
          <w:b/>
          <w:bCs/>
          <w:color w:val="0070C0"/>
          <w:kern w:val="2"/>
          <w:sz w:val="30"/>
          <w:szCs w:val="30"/>
          <w:rtl/>
          <w14:ligatures w14:val="standardContextual"/>
        </w:rPr>
      </w:pPr>
      <w:r w:rsidRPr="008034CE">
        <w:rPr>
          <w:rFonts w:ascii="David" w:hAnsi="David" w:cs="David"/>
          <w:b/>
          <w:bCs/>
          <w:color w:val="0070C0"/>
          <w:kern w:val="2"/>
          <w:sz w:val="30"/>
          <w:szCs w:val="30"/>
          <w:rtl/>
          <w14:ligatures w14:val="standardContextual"/>
        </w:rPr>
        <w:t>שמו של הגר בכתובה</w:t>
      </w:r>
    </w:p>
    <w:p w14:paraId="6FF92E8F" w14:textId="77777777" w:rsidR="008034CE" w:rsidRPr="008034CE" w:rsidRDefault="008034CE" w:rsidP="008034CE">
      <w:pPr>
        <w:rPr>
          <w:rFonts w:ascii="David" w:hAnsi="David" w:cs="David"/>
          <w:b/>
          <w:bCs/>
          <w:rtl/>
        </w:rPr>
      </w:pPr>
    </w:p>
    <w:p w14:paraId="457C09C7" w14:textId="77777777" w:rsidR="008034CE" w:rsidRPr="008034CE" w:rsidRDefault="008034CE" w:rsidP="008034CE">
      <w:pPr>
        <w:rPr>
          <w:rFonts w:ascii="David" w:hAnsi="David" w:cs="David"/>
          <w:b/>
          <w:bCs/>
          <w:sz w:val="26"/>
          <w:szCs w:val="26"/>
          <w:rtl/>
        </w:rPr>
      </w:pPr>
      <w:r w:rsidRPr="008034CE">
        <w:rPr>
          <w:rFonts w:ascii="David" w:hAnsi="David" w:cs="David"/>
          <w:b/>
          <w:bCs/>
          <w:sz w:val="26"/>
          <w:szCs w:val="26"/>
          <w:rtl/>
        </w:rPr>
        <w:t>שאלה</w:t>
      </w:r>
    </w:p>
    <w:p w14:paraId="428FEB70" w14:textId="77777777" w:rsidR="008034CE" w:rsidRPr="008034CE" w:rsidRDefault="008034CE" w:rsidP="008034CE">
      <w:pPr>
        <w:rPr>
          <w:rFonts w:ascii="David" w:hAnsi="David" w:cs="David"/>
          <w:rtl/>
        </w:rPr>
      </w:pPr>
      <w:r w:rsidRPr="008034CE">
        <w:rPr>
          <w:rFonts w:ascii="David" w:hAnsi="David" w:cs="David"/>
          <w:rtl/>
        </w:rPr>
        <w:t>כיצד יש לכתוב את שמו של הגר בכתובתו? הגר שבא לפני מתבייש בכך ומבקש להשמיט פרט זה בכתובה.</w:t>
      </w:r>
    </w:p>
    <w:p w14:paraId="264800DB" w14:textId="77777777" w:rsidR="008034CE" w:rsidRPr="008034CE" w:rsidRDefault="008034CE" w:rsidP="008034CE">
      <w:pPr>
        <w:rPr>
          <w:rFonts w:ascii="David" w:hAnsi="David" w:cs="David"/>
          <w:rtl/>
        </w:rPr>
      </w:pPr>
    </w:p>
    <w:p w14:paraId="33558AE1" w14:textId="77777777" w:rsidR="008034CE" w:rsidRPr="008034CE" w:rsidRDefault="008034CE" w:rsidP="008034CE">
      <w:pPr>
        <w:rPr>
          <w:rFonts w:ascii="David" w:hAnsi="David" w:cs="David"/>
          <w:b/>
          <w:bCs/>
          <w:sz w:val="26"/>
          <w:szCs w:val="26"/>
          <w:rtl/>
        </w:rPr>
      </w:pPr>
      <w:r w:rsidRPr="008034CE">
        <w:rPr>
          <w:rFonts w:ascii="David" w:hAnsi="David" w:cs="David"/>
          <w:b/>
          <w:bCs/>
          <w:sz w:val="26"/>
          <w:szCs w:val="26"/>
          <w:rtl/>
        </w:rPr>
        <w:t>תשובה</w:t>
      </w:r>
    </w:p>
    <w:p w14:paraId="73BDB1DA" w14:textId="5CB5BDF6" w:rsidR="008034CE" w:rsidRPr="00D469C2" w:rsidRDefault="008034CE" w:rsidP="008034CE">
      <w:pPr>
        <w:rPr>
          <w:rFonts w:ascii="David" w:hAnsi="David" w:cs="David"/>
          <w:rtl/>
        </w:rPr>
      </w:pPr>
      <w:r w:rsidRPr="00D469C2">
        <w:rPr>
          <w:rFonts w:ascii="David" w:hAnsi="David" w:cs="David"/>
          <w:rtl/>
        </w:rPr>
        <w:t xml:space="preserve">גר צדק הנושא אשה, יכתבו בכתובתו את שמו הפרטי: </w:t>
      </w:r>
      <w:r w:rsidRPr="00D469C2">
        <w:rPr>
          <w:rFonts w:ascii="David" w:hAnsi="David" w:cs="David"/>
        </w:rPr>
        <w:t>…</w:t>
      </w:r>
      <w:r w:rsidRPr="00D469C2">
        <w:rPr>
          <w:rFonts w:ascii="David" w:hAnsi="David" w:cs="David"/>
          <w:rtl/>
        </w:rPr>
        <w:t xml:space="preserve"> בן אברהם אבינו</w:t>
      </w:r>
      <w:r w:rsidRPr="00D469C2">
        <w:rPr>
          <w:rFonts w:ascii="David" w:hAnsi="David" w:cs="David"/>
          <w:vertAlign w:val="superscript"/>
          <w:rtl/>
        </w:rPr>
        <w:t>1</w:t>
      </w:r>
      <w:r w:rsidRPr="00D469C2">
        <w:rPr>
          <w:rFonts w:ascii="David" w:hAnsi="David" w:cs="David"/>
          <w:rtl/>
        </w:rPr>
        <w:t xml:space="preserve">, מכיוון שהכתובה משמשת </w:t>
      </w:r>
      <w:proofErr w:type="spellStart"/>
      <w:r w:rsidRPr="00D469C2">
        <w:rPr>
          <w:rFonts w:ascii="David" w:hAnsi="David" w:cs="David"/>
          <w:rtl/>
        </w:rPr>
        <w:t>כמיסמך</w:t>
      </w:r>
      <w:proofErr w:type="spellEnd"/>
      <w:r w:rsidRPr="00D469C2">
        <w:rPr>
          <w:rFonts w:ascii="David" w:hAnsi="David" w:cs="David"/>
          <w:rtl/>
        </w:rPr>
        <w:t xml:space="preserve"> לעניין יוחסין</w:t>
      </w:r>
      <w:r w:rsidRPr="00D469C2">
        <w:rPr>
          <w:rFonts w:ascii="David" w:hAnsi="David" w:cs="David"/>
          <w:vertAlign w:val="superscript"/>
          <w:rtl/>
        </w:rPr>
        <w:t>2</w:t>
      </w:r>
      <w:r w:rsidRPr="00D469C2">
        <w:rPr>
          <w:rFonts w:ascii="David" w:hAnsi="David" w:cs="David"/>
          <w:rtl/>
        </w:rPr>
        <w:t xml:space="preserve">. וכן יש לכתוב אצל מי שאביו הביולוגי יהודי </w:t>
      </w:r>
      <w:proofErr w:type="spellStart"/>
      <w:r w:rsidRPr="00D469C2">
        <w:rPr>
          <w:rFonts w:ascii="David" w:hAnsi="David" w:cs="David"/>
          <w:rtl/>
        </w:rPr>
        <w:t>ואמו</w:t>
      </w:r>
      <w:proofErr w:type="spellEnd"/>
      <w:r w:rsidRPr="00D469C2">
        <w:rPr>
          <w:rFonts w:ascii="David" w:hAnsi="David" w:cs="David"/>
          <w:rtl/>
        </w:rPr>
        <w:t xml:space="preserve"> נכריה</w:t>
      </w:r>
      <w:r w:rsidRPr="00D469C2">
        <w:rPr>
          <w:rFonts w:ascii="David" w:hAnsi="David" w:cs="David"/>
          <w:vertAlign w:val="superscript"/>
          <w:rtl/>
        </w:rPr>
        <w:t>3</w:t>
      </w:r>
      <w:r w:rsidRPr="00D469C2">
        <w:rPr>
          <w:rFonts w:ascii="David" w:hAnsi="David" w:cs="David"/>
          <w:rtl/>
        </w:rPr>
        <w:t>.</w:t>
      </w:r>
    </w:p>
    <w:p w14:paraId="43457303" w14:textId="77777777" w:rsidR="008034CE" w:rsidRPr="00D469C2" w:rsidRDefault="008034CE" w:rsidP="008034CE">
      <w:pPr>
        <w:rPr>
          <w:rFonts w:ascii="David" w:hAnsi="David" w:cs="David"/>
          <w:rtl/>
        </w:rPr>
      </w:pPr>
    </w:p>
    <w:p w14:paraId="4F5CE969" w14:textId="77777777" w:rsidR="008034CE" w:rsidRPr="00D469C2" w:rsidRDefault="008034CE" w:rsidP="008034CE">
      <w:pPr>
        <w:contextualSpacing/>
        <w:rPr>
          <w:rFonts w:ascii="David" w:hAnsi="David" w:cs="David"/>
          <w:rtl/>
        </w:rPr>
      </w:pPr>
      <w:r w:rsidRPr="00D469C2">
        <w:rPr>
          <w:rFonts w:ascii="David" w:hAnsi="David" w:cs="David"/>
          <w:rtl/>
        </w:rPr>
        <w:t>כדי שלא לביישו, יש להנחות את מקריא הכתובה בזמן החופה, להשמיט פרט זה ולא להקריאו בקול רם.</w:t>
      </w:r>
    </w:p>
    <w:p w14:paraId="3A734CAB" w14:textId="77777777" w:rsidR="008034CE" w:rsidRPr="008034CE" w:rsidRDefault="008034CE" w:rsidP="008034CE">
      <w:pPr>
        <w:contextualSpacing/>
        <w:rPr>
          <w:rFonts w:ascii="David" w:hAnsi="David" w:cs="David"/>
          <w:rtl/>
        </w:rPr>
      </w:pPr>
    </w:p>
    <w:p w14:paraId="745108B2" w14:textId="77777777" w:rsidR="008034CE" w:rsidRPr="008034CE" w:rsidRDefault="008034CE" w:rsidP="008034CE">
      <w:pPr>
        <w:contextualSpacing/>
        <w:rPr>
          <w:rFonts w:ascii="David" w:hAnsi="David" w:cs="David"/>
          <w:sz w:val="10"/>
          <w:szCs w:val="10"/>
          <w:rtl/>
        </w:rPr>
      </w:pPr>
      <w:r w:rsidRPr="008034CE">
        <w:rPr>
          <w:rFonts w:ascii="David" w:hAnsi="David" w:cs="David"/>
          <w:sz w:val="10"/>
          <w:szCs w:val="10"/>
          <w:rtl/>
        </w:rPr>
        <w:t>_________________________________________</w:t>
      </w:r>
    </w:p>
    <w:p w14:paraId="63C786EE" w14:textId="77777777" w:rsidR="008034CE" w:rsidRPr="008034CE" w:rsidRDefault="008034CE" w:rsidP="008034CE">
      <w:pPr>
        <w:contextualSpacing/>
        <w:rPr>
          <w:rFonts w:ascii="David" w:hAnsi="David" w:cs="David"/>
          <w:sz w:val="10"/>
          <w:szCs w:val="10"/>
          <w:rtl/>
        </w:rPr>
      </w:pPr>
    </w:p>
    <w:p w14:paraId="78903272" w14:textId="77777777" w:rsidR="008034CE" w:rsidRPr="008034CE" w:rsidRDefault="008034CE" w:rsidP="008034CE">
      <w:pPr>
        <w:ind w:left="170" w:hanging="170"/>
        <w:contextualSpacing/>
        <w:rPr>
          <w:rFonts w:ascii="David" w:hAnsi="David" w:cs="David"/>
          <w:sz w:val="20"/>
          <w:szCs w:val="22"/>
          <w:rtl/>
          <w:lang w:eastAsia="he-IL"/>
        </w:rPr>
      </w:pPr>
      <w:r w:rsidRPr="008034CE">
        <w:rPr>
          <w:rFonts w:ascii="David" w:hAnsi="David" w:cs="David"/>
          <w:sz w:val="20"/>
          <w:szCs w:val="22"/>
          <w:vertAlign w:val="superscript"/>
          <w:rtl/>
          <w:lang w:eastAsia="he-IL"/>
        </w:rPr>
        <w:footnoteRef/>
      </w:r>
      <w:r w:rsidRPr="008034CE">
        <w:rPr>
          <w:rFonts w:ascii="David" w:hAnsi="David" w:cs="David"/>
          <w:sz w:val="20"/>
          <w:szCs w:val="22"/>
          <w:rtl/>
          <w:lang w:eastAsia="he-IL"/>
        </w:rPr>
        <w:t xml:space="preserve"> שו"ת </w:t>
      </w:r>
      <w:proofErr w:type="spellStart"/>
      <w:r w:rsidRPr="008034CE">
        <w:rPr>
          <w:rFonts w:ascii="David" w:hAnsi="David" w:cs="David"/>
          <w:sz w:val="20"/>
          <w:szCs w:val="22"/>
          <w:rtl/>
          <w:lang w:eastAsia="he-IL"/>
        </w:rPr>
        <w:t>הרא"ש</w:t>
      </w:r>
      <w:proofErr w:type="spellEnd"/>
      <w:r w:rsidRPr="008034CE">
        <w:rPr>
          <w:rFonts w:ascii="David" w:hAnsi="David" w:cs="David"/>
          <w:sz w:val="20"/>
          <w:szCs w:val="22"/>
          <w:rtl/>
          <w:lang w:eastAsia="he-IL"/>
        </w:rPr>
        <w:t xml:space="preserve"> (כלל טו סי' ד).</w:t>
      </w:r>
    </w:p>
    <w:p w14:paraId="4EEC4563" w14:textId="77777777" w:rsidR="008034CE" w:rsidRPr="008034CE" w:rsidRDefault="008034CE" w:rsidP="008034CE">
      <w:pPr>
        <w:ind w:left="170" w:hanging="170"/>
        <w:contextualSpacing/>
        <w:rPr>
          <w:rFonts w:ascii="David" w:hAnsi="David" w:cs="David"/>
          <w:sz w:val="20"/>
          <w:szCs w:val="22"/>
          <w:rtl/>
          <w:lang w:eastAsia="he-IL"/>
        </w:rPr>
      </w:pPr>
      <w:r w:rsidRPr="008034CE">
        <w:rPr>
          <w:rFonts w:ascii="David" w:hAnsi="David" w:cs="David"/>
          <w:sz w:val="20"/>
          <w:szCs w:val="22"/>
          <w:vertAlign w:val="superscript"/>
          <w:rtl/>
          <w:lang w:eastAsia="he-IL"/>
        </w:rPr>
        <w:t>2</w:t>
      </w:r>
      <w:r w:rsidRPr="008034CE">
        <w:rPr>
          <w:rFonts w:ascii="David" w:hAnsi="David" w:cs="David"/>
          <w:sz w:val="20"/>
          <w:szCs w:val="22"/>
          <w:rtl/>
          <w:lang w:eastAsia="he-IL"/>
        </w:rPr>
        <w:t xml:space="preserve"> כיון שאם </w:t>
      </w:r>
      <w:proofErr w:type="spellStart"/>
      <w:r w:rsidRPr="008034CE">
        <w:rPr>
          <w:rFonts w:ascii="David" w:hAnsi="David" w:cs="David"/>
          <w:sz w:val="20"/>
          <w:szCs w:val="22"/>
          <w:rtl/>
          <w:lang w:eastAsia="he-IL"/>
        </w:rPr>
        <w:t>ישא</w:t>
      </w:r>
      <w:proofErr w:type="spellEnd"/>
      <w:r w:rsidRPr="008034CE">
        <w:rPr>
          <w:rFonts w:ascii="David" w:hAnsi="David" w:cs="David"/>
          <w:sz w:val="20"/>
          <w:szCs w:val="22"/>
          <w:rtl/>
          <w:lang w:eastAsia="he-IL"/>
        </w:rPr>
        <w:t xml:space="preserve"> גיורת, בתו אינה רשאית להינשא לכהן. שו"ע אבן העזר (סי' ז סע' </w:t>
      </w:r>
      <w:proofErr w:type="spellStart"/>
      <w:r w:rsidRPr="008034CE">
        <w:rPr>
          <w:rFonts w:ascii="David" w:hAnsi="David" w:cs="David"/>
          <w:sz w:val="20"/>
          <w:szCs w:val="22"/>
          <w:rtl/>
          <w:lang w:eastAsia="he-IL"/>
        </w:rPr>
        <w:t>כא</w:t>
      </w:r>
      <w:proofErr w:type="spellEnd"/>
      <w:r w:rsidRPr="008034CE">
        <w:rPr>
          <w:rFonts w:ascii="David" w:hAnsi="David" w:cs="David"/>
          <w:sz w:val="20"/>
          <w:szCs w:val="22"/>
          <w:rtl/>
          <w:lang w:eastAsia="he-IL"/>
        </w:rPr>
        <w:t>).</w:t>
      </w:r>
    </w:p>
    <w:p w14:paraId="592EB81C" w14:textId="77777777" w:rsidR="008034CE" w:rsidRPr="008034CE" w:rsidRDefault="008034CE" w:rsidP="008034CE">
      <w:pPr>
        <w:ind w:left="170" w:hanging="170"/>
        <w:contextualSpacing/>
        <w:rPr>
          <w:rFonts w:ascii="David" w:hAnsi="David" w:cs="David"/>
          <w:sz w:val="20"/>
          <w:szCs w:val="22"/>
          <w:rtl/>
          <w:lang w:eastAsia="he-IL"/>
        </w:rPr>
      </w:pPr>
      <w:r w:rsidRPr="008034CE">
        <w:rPr>
          <w:rFonts w:ascii="David" w:hAnsi="David" w:cs="David"/>
          <w:sz w:val="20"/>
          <w:szCs w:val="22"/>
          <w:vertAlign w:val="superscript"/>
          <w:rtl/>
          <w:lang w:eastAsia="he-IL"/>
        </w:rPr>
        <w:t>3</w:t>
      </w:r>
      <w:r w:rsidRPr="008034CE">
        <w:rPr>
          <w:rFonts w:ascii="David" w:hAnsi="David" w:cs="David"/>
          <w:sz w:val="20"/>
          <w:szCs w:val="22"/>
          <w:rtl/>
          <w:lang w:eastAsia="he-IL"/>
        </w:rPr>
        <w:t xml:space="preserve"> "מנחת יצחק" (ח"א ת' קלו), "משפט הכתובה" (ח"א עמ' רעו).</w:t>
      </w:r>
    </w:p>
    <w:p w14:paraId="42A8F56B" w14:textId="77777777" w:rsidR="00DC2804" w:rsidRPr="00DC2804" w:rsidRDefault="00DC2804" w:rsidP="00DC2804">
      <w:pPr>
        <w:contextualSpacing/>
        <w:rPr>
          <w:rFonts w:ascii="David" w:eastAsia="Calibri" w:hAnsi="David" w:cs="David"/>
        </w:rPr>
      </w:pPr>
    </w:p>
    <w:p w14:paraId="78C62B0E" w14:textId="77777777" w:rsidR="00386C2D" w:rsidRDefault="00386C2D" w:rsidP="00B96A4F">
      <w:pPr>
        <w:ind w:left="2695"/>
        <w:contextualSpacing/>
        <w:jc w:val="center"/>
        <w:rPr>
          <w:rFonts w:cs="David"/>
          <w:rtl/>
          <w:lang w:eastAsia="he-IL"/>
        </w:rPr>
      </w:pPr>
    </w:p>
    <w:p w14:paraId="5FD62868" w14:textId="72887A3B"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358BE815" w14:textId="77777777" w:rsidR="00386C2D" w:rsidRDefault="00386C2D" w:rsidP="00051898">
      <w:pPr>
        <w:jc w:val="both"/>
        <w:rPr>
          <w:rFonts w:cs="David"/>
          <w:u w:val="single"/>
          <w:rtl/>
          <w:lang w:eastAsia="he-IL"/>
        </w:rPr>
      </w:pPr>
    </w:p>
    <w:p w14:paraId="784ABD1E" w14:textId="13260B4B" w:rsidR="00051898" w:rsidRPr="00051898" w:rsidRDefault="00051898" w:rsidP="00051898">
      <w:pPr>
        <w:jc w:val="both"/>
        <w:rPr>
          <w:rFonts w:cs="David"/>
          <w:u w:val="single"/>
          <w:rtl/>
          <w:lang w:eastAsia="he-IL"/>
        </w:rPr>
      </w:pPr>
      <w:r w:rsidRPr="00051898">
        <w:rPr>
          <w:rFonts w:cs="David"/>
          <w:u w:val="single"/>
          <w:rtl/>
          <w:lang w:eastAsia="he-IL"/>
        </w:rPr>
        <w:t>חברי הועדה המייעצת:</w:t>
      </w:r>
    </w:p>
    <w:p w14:paraId="66463164" w14:textId="77777777" w:rsidR="00051898" w:rsidRPr="00051898" w:rsidRDefault="00051898" w:rsidP="00051898">
      <w:pPr>
        <w:jc w:val="both"/>
        <w:rPr>
          <w:rFonts w:cs="David"/>
          <w:sz w:val="23"/>
          <w:szCs w:val="23"/>
          <w:rtl/>
          <w:lang w:eastAsia="he-IL"/>
        </w:rPr>
      </w:pPr>
      <w:r w:rsidRPr="00051898">
        <w:rPr>
          <w:rFonts w:cs="David"/>
          <w:sz w:val="23"/>
          <w:szCs w:val="23"/>
          <w:rtl/>
          <w:lang w:eastAsia="he-IL"/>
        </w:rPr>
        <w:t>הרב זלמן נחמיה גולדברג</w:t>
      </w:r>
    </w:p>
    <w:p w14:paraId="2DE1AF28" w14:textId="45B927F6" w:rsidR="00051898" w:rsidRPr="00051898" w:rsidRDefault="00051898" w:rsidP="00051898">
      <w:pPr>
        <w:jc w:val="both"/>
        <w:rPr>
          <w:rFonts w:cs="David"/>
          <w:sz w:val="23"/>
          <w:szCs w:val="23"/>
          <w:rtl/>
          <w:lang w:eastAsia="he-IL"/>
        </w:rPr>
      </w:pPr>
      <w:r w:rsidRPr="00051898">
        <w:rPr>
          <w:rFonts w:cs="David"/>
          <w:sz w:val="23"/>
          <w:szCs w:val="23"/>
          <w:rtl/>
          <w:lang w:eastAsia="he-IL"/>
        </w:rPr>
        <w:t>הרב נחום אליעזר רבינוביץ</w:t>
      </w:r>
    </w:p>
    <w:p w14:paraId="4609659A" w14:textId="53532B12" w:rsidR="00051898" w:rsidRDefault="00051898" w:rsidP="00051898">
      <w:pPr>
        <w:jc w:val="both"/>
        <w:rPr>
          <w:rFonts w:cs="David"/>
          <w:sz w:val="23"/>
          <w:szCs w:val="23"/>
          <w:rtl/>
          <w:lang w:eastAsia="he-IL"/>
        </w:rPr>
      </w:pPr>
      <w:r w:rsidRPr="00051898">
        <w:rPr>
          <w:rFonts w:cs="David"/>
          <w:sz w:val="23"/>
          <w:szCs w:val="23"/>
          <w:rtl/>
          <w:lang w:eastAsia="he-IL"/>
        </w:rPr>
        <w:t>הרב ישראל רוזן</w:t>
      </w:r>
    </w:p>
    <w:p w14:paraId="38A82948" w14:textId="43F416D1" w:rsidR="00386C2D" w:rsidRDefault="00386C2D" w:rsidP="00051898">
      <w:pPr>
        <w:jc w:val="both"/>
        <w:rPr>
          <w:rFonts w:cs="David"/>
          <w:sz w:val="23"/>
          <w:szCs w:val="23"/>
          <w:rtl/>
          <w:lang w:eastAsia="he-IL"/>
        </w:rPr>
      </w:pPr>
    </w:p>
    <w:p w14:paraId="61C44030" w14:textId="0CAEDEE5" w:rsidR="002E4F14" w:rsidRDefault="00D469C2" w:rsidP="00B353AA">
      <w:pPr>
        <w:contextualSpacing/>
        <w:jc w:val="center"/>
        <w:rPr>
          <w:rFonts w:cs="David"/>
          <w:b/>
          <w:bCs/>
          <w:color w:val="002060"/>
          <w:u w:val="single"/>
          <w:rtl/>
          <w:lang w:eastAsia="he-IL"/>
        </w:rPr>
      </w:pPr>
      <w:hyperlink r:id="rId20"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59A12E61"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1" w:history="1">
        <w:r w:rsidRPr="00DD6714">
          <w:rPr>
            <w:color w:val="0070C0"/>
          </w:rPr>
          <w:t>info@eretzhemdah.org</w:t>
        </w:r>
      </w:hyperlink>
    </w:p>
    <w:p w14:paraId="269F2D31" w14:textId="77777777" w:rsidR="00A874A6" w:rsidRDefault="00A874A6" w:rsidP="00A874A6">
      <w:pPr>
        <w:contextualSpacing/>
        <w:jc w:val="center"/>
        <w:rPr>
          <w:color w:val="0070C0"/>
          <w:rtl/>
        </w:rPr>
      </w:pPr>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2"/>
        <w:gridCol w:w="281"/>
        <w:gridCol w:w="11"/>
        <w:gridCol w:w="703"/>
        <w:gridCol w:w="11"/>
        <w:gridCol w:w="694"/>
        <w:gridCol w:w="562"/>
        <w:gridCol w:w="146"/>
        <w:gridCol w:w="709"/>
        <w:gridCol w:w="566"/>
        <w:gridCol w:w="142"/>
        <w:gridCol w:w="293"/>
        <w:gridCol w:w="700"/>
        <w:gridCol w:w="142"/>
        <w:gridCol w:w="570"/>
        <w:gridCol w:w="417"/>
        <w:gridCol w:w="297"/>
        <w:gridCol w:w="133"/>
        <w:gridCol w:w="142"/>
        <w:gridCol w:w="850"/>
        <w:gridCol w:w="710"/>
        <w:gridCol w:w="282"/>
        <w:gridCol w:w="567"/>
        <w:gridCol w:w="284"/>
      </w:tblGrid>
      <w:tr w:rsidR="00A874A6" w:rsidRPr="003A5DA7" w14:paraId="74979A6C" w14:textId="77777777" w:rsidTr="00E02AE9">
        <w:tc>
          <w:tcPr>
            <w:tcW w:w="6832" w:type="dxa"/>
            <w:gridSpan w:val="15"/>
            <w:tcBorders>
              <w:top w:val="single" w:sz="4" w:space="0" w:color="auto"/>
              <w:left w:val="single" w:sz="4" w:space="0" w:color="auto"/>
              <w:bottom w:val="nil"/>
              <w:right w:val="nil"/>
            </w:tcBorders>
            <w:vAlign w:val="center"/>
          </w:tcPr>
          <w:p w14:paraId="43956AB8" w14:textId="77777777" w:rsidR="00A874A6" w:rsidRPr="00F5215F" w:rsidRDefault="00A874A6" w:rsidP="00E02AE9">
            <w:pPr>
              <w:spacing w:line="276" w:lineRule="auto"/>
              <w:contextualSpacing/>
              <w:jc w:val="center"/>
              <w:rPr>
                <w:rFonts w:cs="David"/>
                <w:b/>
                <w:bCs/>
                <w:sz w:val="6"/>
                <w:szCs w:val="6"/>
                <w:u w:val="single"/>
                <w:rtl/>
              </w:rPr>
            </w:pPr>
          </w:p>
          <w:p w14:paraId="562BFE57" w14:textId="77777777" w:rsidR="00A874A6" w:rsidRPr="00785CA6" w:rsidRDefault="00A874A6" w:rsidP="00E02AE9">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70C94637" w14:textId="49F17823" w:rsidR="00A874A6" w:rsidRPr="00C55092" w:rsidRDefault="00C55092" w:rsidP="00E02AE9">
            <w:pPr>
              <w:spacing w:line="276" w:lineRule="auto"/>
              <w:contextualSpacing/>
              <w:jc w:val="center"/>
              <w:rPr>
                <w:rFonts w:ascii="Calibri" w:eastAsia="Calibri" w:hAnsi="Calibri" w:cs="David"/>
                <w:b/>
                <w:bCs/>
                <w:color w:val="0070C0"/>
                <w:sz w:val="21"/>
                <w:szCs w:val="21"/>
                <w:rtl/>
              </w:rPr>
            </w:pPr>
            <w:r w:rsidRPr="00C55092">
              <w:rPr>
                <w:rFonts w:cs="David" w:hint="cs"/>
                <w:b/>
                <w:bCs/>
                <w:color w:val="0070C0"/>
                <w:sz w:val="21"/>
                <w:szCs w:val="21"/>
                <w:rtl/>
              </w:rPr>
              <w:t xml:space="preserve">מו"ר הרב משה מרדכי בן זינה </w:t>
            </w:r>
            <w:proofErr w:type="spellStart"/>
            <w:r w:rsidRPr="00C55092">
              <w:rPr>
                <w:rFonts w:cs="David" w:hint="cs"/>
                <w:b/>
                <w:bCs/>
                <w:color w:val="0070C0"/>
                <w:sz w:val="21"/>
                <w:szCs w:val="21"/>
                <w:rtl/>
              </w:rPr>
              <w:t>זיסל</w:t>
            </w:r>
            <w:proofErr w:type="spellEnd"/>
          </w:p>
        </w:tc>
      </w:tr>
      <w:tr w:rsidR="00A874A6" w:rsidRPr="003A5DA7" w14:paraId="5B77D19D" w14:textId="77777777" w:rsidTr="00E02AE9">
        <w:tc>
          <w:tcPr>
            <w:tcW w:w="1583" w:type="dxa"/>
            <w:gridSpan w:val="2"/>
            <w:tcBorders>
              <w:top w:val="nil"/>
              <w:left w:val="single" w:sz="4" w:space="0" w:color="auto"/>
              <w:bottom w:val="nil"/>
              <w:right w:val="nil"/>
            </w:tcBorders>
            <w:vAlign w:val="center"/>
          </w:tcPr>
          <w:p w14:paraId="770C178B" w14:textId="77777777" w:rsidR="00A874A6" w:rsidRPr="003A5DA7" w:rsidRDefault="00A874A6" w:rsidP="00E02AE9">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vAlign w:val="center"/>
          </w:tcPr>
          <w:p w14:paraId="25F02882" w14:textId="77777777" w:rsidR="00A874A6" w:rsidRPr="003A5DA7" w:rsidRDefault="00A874A6" w:rsidP="00E02AE9">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5"/>
            <w:tcBorders>
              <w:top w:val="nil"/>
              <w:left w:val="nil"/>
              <w:bottom w:val="nil"/>
              <w:right w:val="nil"/>
            </w:tcBorders>
            <w:vAlign w:val="center"/>
          </w:tcPr>
          <w:p w14:paraId="094EC431" w14:textId="77777777" w:rsidR="00A874A6" w:rsidRPr="003A5DA7" w:rsidRDefault="00A874A6" w:rsidP="00E02AE9">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5"/>
            <w:tcBorders>
              <w:top w:val="nil"/>
              <w:left w:val="nil"/>
              <w:bottom w:val="nil"/>
              <w:right w:val="nil"/>
            </w:tcBorders>
            <w:vAlign w:val="center"/>
          </w:tcPr>
          <w:p w14:paraId="2DC951C9" w14:textId="77777777" w:rsidR="00A874A6" w:rsidRPr="003A5DA7" w:rsidRDefault="00A874A6" w:rsidP="00E02AE9">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1F535886" w14:textId="4F9AC54F" w:rsidR="00A874A6" w:rsidRPr="00C55092" w:rsidRDefault="00C55092" w:rsidP="00E02AE9">
            <w:pPr>
              <w:spacing w:line="276" w:lineRule="auto"/>
              <w:contextualSpacing/>
              <w:jc w:val="center"/>
              <w:rPr>
                <w:rFonts w:cs="David"/>
                <w:b/>
                <w:bCs/>
                <w:color w:val="0070C0"/>
                <w:sz w:val="20"/>
                <w:szCs w:val="20"/>
              </w:rPr>
            </w:pPr>
            <w:r w:rsidRPr="00DE0DD5">
              <w:rPr>
                <w:rFonts w:cs="David" w:hint="cs"/>
                <w:b/>
                <w:bCs/>
                <w:color w:val="0070C0"/>
                <w:sz w:val="20"/>
                <w:szCs w:val="20"/>
                <w:rtl/>
              </w:rPr>
              <w:t>החייל, איתמר חיים בן ציפי ציפורה</w:t>
            </w:r>
          </w:p>
        </w:tc>
      </w:tr>
      <w:tr w:rsidR="00A874A6" w:rsidRPr="003A5DA7" w14:paraId="1C53ABC6" w14:textId="77777777" w:rsidTr="00E02AE9">
        <w:tc>
          <w:tcPr>
            <w:tcW w:w="1302" w:type="dxa"/>
            <w:tcBorders>
              <w:top w:val="nil"/>
              <w:left w:val="single" w:sz="4" w:space="0" w:color="auto"/>
              <w:bottom w:val="nil"/>
              <w:right w:val="nil"/>
            </w:tcBorders>
            <w:vAlign w:val="center"/>
          </w:tcPr>
          <w:p w14:paraId="1EB15213" w14:textId="77777777" w:rsidR="00A874A6" w:rsidRPr="003A5DA7" w:rsidRDefault="00A874A6" w:rsidP="00E02AE9">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700" w:type="dxa"/>
            <w:gridSpan w:val="5"/>
            <w:tcBorders>
              <w:top w:val="nil"/>
              <w:left w:val="nil"/>
              <w:bottom w:val="nil"/>
              <w:right w:val="nil"/>
            </w:tcBorders>
            <w:vAlign w:val="center"/>
          </w:tcPr>
          <w:p w14:paraId="13A654CF" w14:textId="77777777" w:rsidR="00A874A6" w:rsidRPr="003A5DA7" w:rsidRDefault="00A874A6" w:rsidP="00E02AE9">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6F103BA0" w14:textId="77777777" w:rsidR="00A874A6" w:rsidRPr="003A5DA7" w:rsidRDefault="00A874A6" w:rsidP="00E02AE9">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5CCC4C54" w14:textId="77777777" w:rsidR="00A874A6" w:rsidRPr="003A5DA7" w:rsidRDefault="00A874A6" w:rsidP="00E02AE9">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24991F3D" w14:textId="77777777" w:rsidR="00A874A6" w:rsidRPr="003A5DA7" w:rsidRDefault="00A874A6" w:rsidP="00E02AE9">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3" w:type="dxa"/>
            <w:gridSpan w:val="3"/>
            <w:tcBorders>
              <w:top w:val="nil"/>
              <w:left w:val="nil"/>
              <w:bottom w:val="nil"/>
              <w:right w:val="single" w:sz="4" w:space="0" w:color="auto"/>
            </w:tcBorders>
            <w:vAlign w:val="center"/>
          </w:tcPr>
          <w:p w14:paraId="21503024" w14:textId="77777777" w:rsidR="00A874A6" w:rsidRPr="003A5DA7" w:rsidRDefault="00A874A6" w:rsidP="00E02AE9">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A874A6" w:rsidRPr="003A5DA7" w14:paraId="47B5ACEA" w14:textId="77777777" w:rsidTr="00E02AE9">
        <w:tc>
          <w:tcPr>
            <w:tcW w:w="1594" w:type="dxa"/>
            <w:gridSpan w:val="3"/>
            <w:tcBorders>
              <w:top w:val="nil"/>
              <w:left w:val="single" w:sz="4" w:space="0" w:color="auto"/>
              <w:bottom w:val="nil"/>
              <w:right w:val="nil"/>
            </w:tcBorders>
            <w:vAlign w:val="center"/>
          </w:tcPr>
          <w:p w14:paraId="50F18479" w14:textId="77777777" w:rsidR="00A874A6" w:rsidRPr="003A5DA7" w:rsidRDefault="00A874A6" w:rsidP="00E02AE9">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5C7402FA" w14:textId="77777777" w:rsidR="00A874A6" w:rsidRPr="003A5DA7" w:rsidRDefault="00A874A6" w:rsidP="00E02AE9">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69A315AC" w14:textId="77777777" w:rsidR="00A874A6" w:rsidRPr="003A5DA7" w:rsidRDefault="00A874A6" w:rsidP="00E02AE9">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3083540F" w14:textId="77777777" w:rsidR="00A874A6" w:rsidRPr="00FF6578" w:rsidRDefault="00A874A6" w:rsidP="00E02AE9">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393C7E7E" w14:textId="77777777" w:rsidR="00A874A6" w:rsidRPr="00FF6578" w:rsidRDefault="00A874A6" w:rsidP="00E02AE9">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60CD86B5" w14:textId="77777777" w:rsidR="00A874A6" w:rsidRPr="003A5DA7" w:rsidRDefault="00A874A6" w:rsidP="00E02AE9">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A874A6" w:rsidRPr="003A5DA7" w14:paraId="3FE7CA6A" w14:textId="77777777" w:rsidTr="00E02AE9">
        <w:tc>
          <w:tcPr>
            <w:tcW w:w="2308" w:type="dxa"/>
            <w:gridSpan w:val="5"/>
            <w:tcBorders>
              <w:top w:val="nil"/>
              <w:left w:val="single" w:sz="4" w:space="0" w:color="auto"/>
              <w:bottom w:val="nil"/>
              <w:right w:val="nil"/>
            </w:tcBorders>
            <w:vAlign w:val="center"/>
          </w:tcPr>
          <w:p w14:paraId="1FB75AB6" w14:textId="77777777" w:rsidR="00A874A6" w:rsidRPr="003A5DA7" w:rsidRDefault="00A874A6" w:rsidP="00E02AE9">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1" w:type="dxa"/>
            <w:gridSpan w:val="4"/>
            <w:tcBorders>
              <w:top w:val="nil"/>
              <w:left w:val="nil"/>
              <w:bottom w:val="nil"/>
              <w:right w:val="nil"/>
            </w:tcBorders>
            <w:vAlign w:val="center"/>
          </w:tcPr>
          <w:p w14:paraId="581FB974" w14:textId="77777777" w:rsidR="00A874A6" w:rsidRPr="003A5DA7" w:rsidRDefault="00A874A6" w:rsidP="00E02AE9">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541A7FF7" w14:textId="77777777" w:rsidR="00A874A6" w:rsidRPr="003A5DA7" w:rsidRDefault="00A874A6" w:rsidP="00E02AE9">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17AC04FE" w14:textId="77777777" w:rsidR="00A874A6" w:rsidRPr="003A5DA7" w:rsidRDefault="00A874A6" w:rsidP="00E02AE9">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409" w:type="dxa"/>
            <w:gridSpan w:val="4"/>
            <w:tcBorders>
              <w:top w:val="nil"/>
              <w:left w:val="nil"/>
              <w:bottom w:val="nil"/>
              <w:right w:val="nil"/>
            </w:tcBorders>
            <w:vAlign w:val="center"/>
          </w:tcPr>
          <w:p w14:paraId="3D484B15" w14:textId="77777777" w:rsidR="00A874A6" w:rsidRPr="000F56BB" w:rsidRDefault="00A874A6" w:rsidP="00E02AE9">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c>
          <w:tcPr>
            <w:tcW w:w="284" w:type="dxa"/>
            <w:tcBorders>
              <w:top w:val="nil"/>
              <w:left w:val="nil"/>
              <w:bottom w:val="nil"/>
              <w:right w:val="single" w:sz="4" w:space="0" w:color="auto"/>
            </w:tcBorders>
            <w:vAlign w:val="center"/>
          </w:tcPr>
          <w:p w14:paraId="1975310F" w14:textId="77777777" w:rsidR="00A874A6" w:rsidRPr="003A5DA7" w:rsidRDefault="00A874A6" w:rsidP="00E02AE9">
            <w:pPr>
              <w:spacing w:line="276" w:lineRule="auto"/>
              <w:contextualSpacing/>
              <w:jc w:val="center"/>
              <w:rPr>
                <w:rFonts w:cs="David"/>
                <w:b/>
                <w:bCs/>
                <w:color w:val="0070C0"/>
                <w:sz w:val="20"/>
                <w:szCs w:val="20"/>
                <w:rtl/>
              </w:rPr>
            </w:pPr>
          </w:p>
        </w:tc>
      </w:tr>
      <w:tr w:rsidR="00A874A6" w:rsidRPr="003A5DA7" w14:paraId="16DF6C04" w14:textId="77777777" w:rsidTr="00E02AE9">
        <w:tc>
          <w:tcPr>
            <w:tcW w:w="2297" w:type="dxa"/>
            <w:gridSpan w:val="4"/>
            <w:tcBorders>
              <w:top w:val="nil"/>
              <w:left w:val="single" w:sz="4" w:space="0" w:color="auto"/>
              <w:bottom w:val="single" w:sz="4" w:space="0" w:color="auto"/>
              <w:right w:val="nil"/>
            </w:tcBorders>
            <w:vAlign w:val="center"/>
          </w:tcPr>
          <w:p w14:paraId="3A4D26AA" w14:textId="77777777" w:rsidR="00A874A6" w:rsidRPr="003A5DA7" w:rsidRDefault="00A874A6" w:rsidP="00E02AE9">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6"/>
            <w:tcBorders>
              <w:top w:val="nil"/>
              <w:left w:val="nil"/>
              <w:bottom w:val="single" w:sz="4" w:space="0" w:color="auto"/>
              <w:right w:val="nil"/>
            </w:tcBorders>
            <w:vAlign w:val="center"/>
          </w:tcPr>
          <w:p w14:paraId="3CD11FA6" w14:textId="77777777" w:rsidR="00A874A6" w:rsidRPr="003A5DA7" w:rsidRDefault="00A874A6" w:rsidP="00E02AE9">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3DB7FF9E" w14:textId="77777777" w:rsidR="00A874A6" w:rsidRPr="003A5DA7" w:rsidRDefault="00A874A6" w:rsidP="00E02AE9">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56D621D8" w14:textId="77777777" w:rsidR="00A874A6" w:rsidRPr="00F5215F" w:rsidRDefault="00A874A6" w:rsidP="00E02AE9">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6FDD4650" w14:textId="77777777" w:rsidR="00A874A6" w:rsidRPr="007025EE" w:rsidRDefault="00A874A6" w:rsidP="00E02AE9">
            <w:pPr>
              <w:spacing w:line="276" w:lineRule="auto"/>
              <w:contextualSpacing/>
              <w:rPr>
                <w:rFonts w:cs="David"/>
                <w:b/>
                <w:bCs/>
                <w:color w:val="0070C0"/>
                <w:sz w:val="20"/>
                <w:szCs w:val="20"/>
                <w:rtl/>
              </w:rPr>
            </w:pPr>
          </w:p>
        </w:tc>
      </w:tr>
    </w:tbl>
    <w:p w14:paraId="143FA029" w14:textId="717043CD" w:rsidR="00A874A6" w:rsidRDefault="000F54C9" w:rsidP="00A874A6">
      <w:pPr>
        <w:contextualSpacing/>
        <w:jc w:val="center"/>
        <w:rPr>
          <w:color w:val="0070C0"/>
          <w:rtl/>
        </w:rPr>
      </w:pPr>
      <w:r w:rsidRPr="003B597C">
        <w:rPr>
          <w:rStyle w:val="1c"/>
          <w:b/>
          <w:bCs/>
          <w:noProof/>
          <w:color w:val="0070C0"/>
          <w:sz w:val="23"/>
          <w:szCs w:val="23"/>
        </w:rPr>
        <w:drawing>
          <wp:anchor distT="0" distB="0" distL="114300" distR="114300" simplePos="0" relativeHeight="252027904" behindDoc="1" locked="0" layoutInCell="1" allowOverlap="1" wp14:anchorId="5038D856" wp14:editId="0BCF94BC">
            <wp:simplePos x="0" y="0"/>
            <wp:positionH relativeFrom="margin">
              <wp:posOffset>828040</wp:posOffset>
            </wp:positionH>
            <wp:positionV relativeFrom="paragraph">
              <wp:posOffset>1155065</wp:posOffset>
            </wp:positionV>
            <wp:extent cx="5269230" cy="936625"/>
            <wp:effectExtent l="0" t="0" r="762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269230" cy="936625"/>
                    </a:xfrm>
                    <a:prstGeom prst="rect">
                      <a:avLst/>
                    </a:prstGeom>
                  </pic:spPr>
                </pic:pic>
              </a:graphicData>
            </a:graphic>
            <wp14:sizeRelH relativeFrom="page">
              <wp14:pctWidth>0</wp14:pctWidth>
            </wp14:sizeRelH>
            <wp14:sizeRelV relativeFrom="page">
              <wp14:pctHeight>0</wp14:pctHeight>
            </wp14:sizeRelV>
          </wp:anchor>
        </w:drawing>
      </w:r>
    </w:p>
    <w:p w14:paraId="25A9FCFD" w14:textId="36E45A7D" w:rsidR="00386C2D" w:rsidRDefault="00386C2D" w:rsidP="00386C2D">
      <w:pPr>
        <w:contextualSpacing/>
        <w:rPr>
          <w:color w:val="0070C0"/>
          <w:rtl/>
        </w:rPr>
      </w:pPr>
    </w:p>
    <w:p w14:paraId="3E1371F3" w14:textId="554FF586" w:rsidR="00CF1866" w:rsidRDefault="00CF1866" w:rsidP="00CF1866">
      <w:pPr>
        <w:contextualSpacing/>
        <w:rPr>
          <w:color w:val="0070C0"/>
          <w:rtl/>
        </w:rPr>
      </w:pPr>
    </w:p>
    <w:p w14:paraId="0B075B16" w14:textId="77777777" w:rsidR="00CF1866" w:rsidRDefault="00CF1866" w:rsidP="00CF1866">
      <w:pPr>
        <w:contextualSpacing/>
        <w:rPr>
          <w:color w:val="0070C0"/>
          <w:rtl/>
        </w:rPr>
      </w:pPr>
    </w:p>
    <w:p w14:paraId="343E0C5F" w14:textId="77777777" w:rsidR="00CF1866" w:rsidRDefault="00CF1866" w:rsidP="00CF1866">
      <w:pPr>
        <w:contextualSpacing/>
        <w:rPr>
          <w:color w:val="0070C0"/>
          <w:rtl/>
        </w:rPr>
      </w:pPr>
    </w:p>
    <w:p w14:paraId="4B6D66E3" w14:textId="77777777" w:rsidR="00CF1866" w:rsidRDefault="00CF1866" w:rsidP="00CF1866">
      <w:pPr>
        <w:contextualSpacing/>
        <w:rPr>
          <w:color w:val="0070C0"/>
          <w:rtl/>
        </w:rPr>
      </w:pPr>
    </w:p>
    <w:p w14:paraId="134AACD4" w14:textId="4B9B7AC6" w:rsidR="00386C2D" w:rsidRDefault="00386C2D" w:rsidP="00386C2D">
      <w:pPr>
        <w:contextualSpacing/>
        <w:rPr>
          <w:color w:val="0070C0"/>
          <w:rtl/>
        </w:rPr>
      </w:pPr>
    </w:p>
    <w:p w14:paraId="30BF7FE9" w14:textId="38479F74" w:rsidR="00386C2D" w:rsidRDefault="00386C2D" w:rsidP="00386C2D">
      <w:pPr>
        <w:contextualSpacing/>
        <w:rPr>
          <w:color w:val="0070C0"/>
          <w:rtl/>
        </w:rPr>
      </w:pPr>
      <w:r w:rsidRPr="00876564">
        <w:rPr>
          <w:noProof/>
          <w:sz w:val="20"/>
          <w:szCs w:val="20"/>
          <w:rtl/>
        </w:rPr>
        <w:drawing>
          <wp:anchor distT="0" distB="0" distL="114300" distR="114300" simplePos="0" relativeHeight="252025856" behindDoc="0" locked="0" layoutInCell="1" allowOverlap="1" wp14:anchorId="294E9334" wp14:editId="2EBCE967">
            <wp:simplePos x="0" y="0"/>
            <wp:positionH relativeFrom="margin">
              <wp:align>center</wp:align>
            </wp:positionH>
            <wp:positionV relativeFrom="paragraph">
              <wp:posOffset>60960</wp:posOffset>
            </wp:positionV>
            <wp:extent cx="4838333" cy="1097280"/>
            <wp:effectExtent l="0" t="0" r="635" b="7620"/>
            <wp:wrapNone/>
            <wp:docPr id="7" name="תמונה 7" descr="משטר ומדינה פרסום לחי">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p w14:paraId="777376F6" w14:textId="77777777" w:rsidR="00386C2D" w:rsidRDefault="00386C2D" w:rsidP="00386C2D">
      <w:pPr>
        <w:contextualSpacing/>
        <w:rPr>
          <w:color w:val="0070C0"/>
          <w:rtl/>
        </w:rPr>
      </w:pPr>
    </w:p>
    <w:p w14:paraId="746666B3" w14:textId="61E40A32" w:rsidR="00386C2D" w:rsidRDefault="00386C2D" w:rsidP="00386C2D">
      <w:pPr>
        <w:contextualSpacing/>
        <w:rPr>
          <w:color w:val="0070C0"/>
          <w:rtl/>
        </w:rPr>
      </w:pPr>
    </w:p>
    <w:p w14:paraId="754677A2" w14:textId="77777777" w:rsidR="00386C2D" w:rsidRDefault="00386C2D" w:rsidP="00386C2D">
      <w:pPr>
        <w:contextualSpacing/>
        <w:rPr>
          <w:color w:val="0070C0"/>
          <w:rtl/>
        </w:rPr>
      </w:pPr>
    </w:p>
    <w:p w14:paraId="554CA8A7" w14:textId="0A283A43" w:rsidR="00490171" w:rsidRDefault="00490171" w:rsidP="00386C2D">
      <w:pPr>
        <w:contextualSpacing/>
        <w:rPr>
          <w:color w:val="0070C0"/>
          <w:rtl/>
        </w:rPr>
      </w:pPr>
    </w:p>
    <w:sectPr w:rsidR="00490171" w:rsidSect="005D10D2">
      <w:headerReference w:type="default" r:id="rId25"/>
      <w:headerReference w:type="first" r:id="rId26"/>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16ACB" w14:textId="77777777" w:rsidR="00E545BF" w:rsidRDefault="00E545BF">
      <w:r>
        <w:separator/>
      </w:r>
    </w:p>
  </w:endnote>
  <w:endnote w:type="continuationSeparator" w:id="0">
    <w:p w14:paraId="7820B327" w14:textId="77777777" w:rsidR="00E545BF" w:rsidRDefault="00E5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16DE9" w14:textId="77777777" w:rsidR="00E545BF" w:rsidRDefault="00E545BF">
      <w:r>
        <w:separator/>
      </w:r>
    </w:p>
  </w:footnote>
  <w:footnote w:type="continuationSeparator" w:id="0">
    <w:p w14:paraId="594C4FFA" w14:textId="77777777" w:rsidR="00E545BF" w:rsidRDefault="00E54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34261"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784CB553" w:rsidR="003056AF" w:rsidRPr="00FA505B" w:rsidRDefault="00CF1866"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פקודי</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5"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20"/>
  </w:num>
  <w:num w:numId="4">
    <w:abstractNumId w:val="1"/>
  </w:num>
  <w:num w:numId="5">
    <w:abstractNumId w:val="9"/>
  </w:num>
  <w:num w:numId="6">
    <w:abstractNumId w:val="14"/>
  </w:num>
  <w:num w:numId="7">
    <w:abstractNumId w:val="12"/>
  </w:num>
  <w:num w:numId="8">
    <w:abstractNumId w:val="4"/>
  </w:num>
  <w:num w:numId="9">
    <w:abstractNumId w:val="16"/>
  </w:num>
  <w:num w:numId="10">
    <w:abstractNumId w:val="17"/>
  </w:num>
  <w:num w:numId="11">
    <w:abstractNumId w:val="3"/>
  </w:num>
  <w:num w:numId="12">
    <w:abstractNumId w:val="18"/>
  </w:num>
  <w:num w:numId="13">
    <w:abstractNumId w:val="8"/>
  </w:num>
  <w:num w:numId="14">
    <w:abstractNumId w:val="19"/>
  </w:num>
  <w:num w:numId="15">
    <w:abstractNumId w:val="11"/>
  </w:num>
  <w:num w:numId="16">
    <w:abstractNumId w:val="2"/>
  </w:num>
  <w:num w:numId="17">
    <w:abstractNumId w:val="21"/>
  </w:num>
  <w:num w:numId="18">
    <w:abstractNumId w:val="6"/>
  </w:num>
  <w:num w:numId="19">
    <w:abstractNumId w:val="10"/>
  </w:num>
  <w:num w:numId="20">
    <w:abstractNumId w:val="15"/>
  </w:num>
  <w:num w:numId="21">
    <w:abstractNumId w:val="13"/>
  </w:num>
  <w:num w:numId="22">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2B"/>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1D8"/>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AF2"/>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mailto:info@eretzhemdah.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8&amp;lang=h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newsletterArticle.asp?lang=he&amp;pageid=48&amp;cat=1&amp;newsletter=402&amp;article=1494"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yperlink" Target="http://eretzhemdah.org/publications.asp?lang=he&amp;pag"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image" Target="media/image7.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1929</Words>
  <Characters>9373</Characters>
  <Application>Microsoft Office Word</Application>
  <DocSecurity>0</DocSecurity>
  <Lines>78</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9</cp:revision>
  <cp:lastPrinted>2025-01-30T11:17:00Z</cp:lastPrinted>
  <dcterms:created xsi:type="dcterms:W3CDTF">2025-03-25T14:30:00Z</dcterms:created>
  <dcterms:modified xsi:type="dcterms:W3CDTF">2025-03-27T11:32:00Z</dcterms:modified>
</cp:coreProperties>
</file>