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210FF24"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9D2A0B" w:rsidRPr="009D2A0B">
              <w:rPr>
                <w:b/>
                <w:bCs/>
                <w:color w:val="D85640"/>
                <w:sz w:val="22"/>
                <w:szCs w:val="22"/>
              </w:rPr>
              <w:t>Le</w:t>
            </w:r>
            <w:r w:rsidR="00F304BA" w:rsidRPr="009D2A0B">
              <w:rPr>
                <w:b/>
                <w:bCs/>
                <w:color w:val="D85640"/>
                <w:sz w:val="22"/>
                <w:szCs w:val="22"/>
              </w:rPr>
              <w:t>ch</w:t>
            </w:r>
            <w:r w:rsidR="009D2A0B" w:rsidRPr="009D2A0B">
              <w:rPr>
                <w:b/>
                <w:bCs/>
                <w:color w:val="D85640"/>
                <w:sz w:val="22"/>
                <w:szCs w:val="22"/>
              </w:rPr>
              <w:t xml:space="preserve"> Lecha</w:t>
            </w:r>
            <w:r w:rsidR="00563D69" w:rsidRPr="009D2A0B">
              <w:rPr>
                <w:b/>
                <w:bCs/>
                <w:color w:val="D85640"/>
                <w:sz w:val="22"/>
                <w:szCs w:val="22"/>
              </w:rPr>
              <w:t>,</w:t>
            </w:r>
            <w:r w:rsidR="00DB429E" w:rsidRPr="009D2A0B">
              <w:rPr>
                <w:b/>
                <w:bCs/>
                <w:color w:val="D85640"/>
                <w:sz w:val="22"/>
                <w:szCs w:val="22"/>
              </w:rPr>
              <w:t xml:space="preserve"> </w:t>
            </w:r>
            <w:r w:rsidR="009D2A0B" w:rsidRPr="009D2A0B">
              <w:rPr>
                <w:b/>
                <w:bCs/>
                <w:color w:val="D85640"/>
                <w:sz w:val="22"/>
                <w:szCs w:val="22"/>
              </w:rPr>
              <w:t>Cheshvan</w:t>
            </w:r>
            <w:r w:rsidR="00953D26" w:rsidRPr="009D2A0B">
              <w:rPr>
                <w:b/>
                <w:bCs/>
                <w:color w:val="D85640"/>
                <w:sz w:val="24"/>
                <w:szCs w:val="24"/>
              </w:rPr>
              <w:t xml:space="preserve"> </w:t>
            </w:r>
            <w:r w:rsidR="00BC3B6E">
              <w:rPr>
                <w:b/>
                <w:bCs/>
                <w:color w:val="D85640"/>
                <w:sz w:val="28"/>
                <w:szCs w:val="28"/>
              </w:rPr>
              <w:t>26</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1C540B">
              <w:rPr>
                <w:b/>
                <w:bCs/>
                <w:color w:val="D85640"/>
                <w:sz w:val="28"/>
                <w:szCs w:val="28"/>
              </w:rPr>
              <w:t>6</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DB06B8A" w14:textId="77777777" w:rsidR="002F0DC2" w:rsidRPr="00231F03" w:rsidRDefault="002F0DC2" w:rsidP="002F0DC2">
            <w:pPr>
              <w:jc w:val="center"/>
              <w:rPr>
                <w:color w:val="002060"/>
              </w:rPr>
            </w:pPr>
            <w:r>
              <w:rPr>
                <w:b/>
                <w:bCs/>
                <w:color w:val="002060"/>
                <w:sz w:val="28"/>
                <w:szCs w:val="28"/>
              </w:rPr>
              <w:t xml:space="preserve">The Journey … from </w:t>
            </w:r>
            <w:proofErr w:type="spellStart"/>
            <w:r>
              <w:rPr>
                <w:b/>
                <w:bCs/>
                <w:color w:val="002060"/>
                <w:sz w:val="28"/>
                <w:szCs w:val="28"/>
              </w:rPr>
              <w:t>Charan</w:t>
            </w:r>
            <w:proofErr w:type="spellEnd"/>
            <w:r>
              <w:rPr>
                <w:b/>
                <w:bCs/>
                <w:color w:val="002060"/>
                <w:sz w:val="28"/>
                <w:szCs w:val="28"/>
              </w:rPr>
              <w:t xml:space="preserve"> to </w:t>
            </w:r>
            <w:r w:rsidRPr="008D38C0">
              <w:rPr>
                <w:b/>
                <w:bCs/>
                <w:color w:val="002060"/>
                <w:sz w:val="28"/>
                <w:szCs w:val="28"/>
              </w:rPr>
              <w:t>Mt. Moriah</w:t>
            </w:r>
            <w:r>
              <w:rPr>
                <w:b/>
                <w:bCs/>
                <w:i/>
                <w:iCs/>
                <w:color w:val="002060"/>
                <w:sz w:val="28"/>
                <w:szCs w:val="28"/>
              </w:rPr>
              <w:t xml:space="preserve"> </w:t>
            </w:r>
            <w:r>
              <w:rPr>
                <w:b/>
                <w:bCs/>
                <w:color w:val="002060"/>
                <w:sz w:val="28"/>
                <w:szCs w:val="28"/>
              </w:rPr>
              <w:t>and Beyond</w:t>
            </w:r>
          </w:p>
          <w:p w14:paraId="3ECCAF10" w14:textId="77777777" w:rsidR="00F304BA" w:rsidRPr="001834E1" w:rsidRDefault="00F304BA" w:rsidP="00F304BA">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78C45FDC" w14:textId="77777777" w:rsidR="002F0DC2" w:rsidRDefault="002F0DC2" w:rsidP="002F0DC2">
      <w:pPr>
        <w:bidi w:val="0"/>
        <w:ind w:firstLine="426"/>
      </w:pPr>
      <w:bookmarkStart w:id="1" w:name="_Hlk193982934"/>
      <w:r>
        <w:t>The call to Avraham of “</w:t>
      </w:r>
      <w:r>
        <w:rPr>
          <w:i/>
          <w:iCs/>
        </w:rPr>
        <w:t xml:space="preserve">Lech </w:t>
      </w:r>
      <w:proofErr w:type="spellStart"/>
      <w:r>
        <w:rPr>
          <w:i/>
          <w:iCs/>
        </w:rPr>
        <w:t>lecha</w:t>
      </w:r>
      <w:proofErr w:type="spellEnd"/>
      <w:r w:rsidRPr="00125AB6">
        <w:t>”</w:t>
      </w:r>
      <w:r>
        <w:t xml:space="preserve"> (I will unsatisfactorily translate it as “you shall go”) is found twice in </w:t>
      </w:r>
      <w:proofErr w:type="spellStart"/>
      <w:r>
        <w:t>Bereishit</w:t>
      </w:r>
      <w:proofErr w:type="spellEnd"/>
      <w:r>
        <w:t xml:space="preserve">. Opening our </w:t>
      </w:r>
      <w:proofErr w:type="spellStart"/>
      <w:r>
        <w:rPr>
          <w:i/>
          <w:iCs/>
        </w:rPr>
        <w:t>parasha</w:t>
      </w:r>
      <w:proofErr w:type="spellEnd"/>
      <w:r>
        <w:t>, Hashem tells Avraham to go to the land he will show him (</w:t>
      </w:r>
      <w:proofErr w:type="spellStart"/>
      <w:r>
        <w:t>Bereishit</w:t>
      </w:r>
      <w:proofErr w:type="spellEnd"/>
      <w:r>
        <w:t xml:space="preserve"> 12:1). In </w:t>
      </w:r>
      <w:proofErr w:type="spellStart"/>
      <w:r>
        <w:t>Vayeira</w:t>
      </w:r>
      <w:proofErr w:type="spellEnd"/>
      <w:r>
        <w:t>, Hashem tells him to go the Land of Moriah and offer Yitzchak as a sacrifice (</w:t>
      </w:r>
      <w:proofErr w:type="spellStart"/>
      <w:r>
        <w:rPr>
          <w:i/>
          <w:iCs/>
        </w:rPr>
        <w:t>Akeidat</w:t>
      </w:r>
      <w:proofErr w:type="spellEnd"/>
      <w:r>
        <w:rPr>
          <w:i/>
          <w:iCs/>
        </w:rPr>
        <w:t xml:space="preserve"> Yitzchak</w:t>
      </w:r>
      <w:r>
        <w:t>)</w:t>
      </w:r>
      <w:r>
        <w:rPr>
          <w:i/>
          <w:iCs/>
        </w:rPr>
        <w:t xml:space="preserve"> </w:t>
      </w:r>
      <w:r>
        <w:t xml:space="preserve">on a mountain He would tell him (ibid. 22:2). </w:t>
      </w:r>
    </w:p>
    <w:p w14:paraId="209E66E5" w14:textId="77777777" w:rsidR="002F0DC2" w:rsidRDefault="002F0DC2" w:rsidP="002F0DC2">
      <w:pPr>
        <w:bidi w:val="0"/>
        <w:ind w:firstLine="426"/>
      </w:pPr>
      <w:r>
        <w:t xml:space="preserve">Where exactly was the altar upon which Avraham put Yitzchak? The place would become known to us only at the time of David, as the place where the </w:t>
      </w:r>
      <w:r>
        <w:rPr>
          <w:i/>
          <w:iCs/>
        </w:rPr>
        <w:t xml:space="preserve">Beit </w:t>
      </w:r>
      <w:proofErr w:type="spellStart"/>
      <w:r>
        <w:rPr>
          <w:i/>
          <w:iCs/>
        </w:rPr>
        <w:t>Hamikdash</w:t>
      </w:r>
      <w:proofErr w:type="spellEnd"/>
      <w:r>
        <w:t xml:space="preserve"> would stand</w:t>
      </w:r>
      <w:r>
        <w:rPr>
          <w:i/>
          <w:iCs/>
        </w:rPr>
        <w:t>.</w:t>
      </w:r>
      <w:r>
        <w:t xml:space="preserve"> The connection between the location of the </w:t>
      </w:r>
      <w:r>
        <w:rPr>
          <w:i/>
          <w:iCs/>
        </w:rPr>
        <w:t xml:space="preserve">Beit </w:t>
      </w:r>
      <w:proofErr w:type="spellStart"/>
      <w:r>
        <w:rPr>
          <w:i/>
          <w:iCs/>
        </w:rPr>
        <w:t>Hamikdash</w:t>
      </w:r>
      <w:proofErr w:type="spellEnd"/>
      <w:r>
        <w:t xml:space="preserve"> and Avraham’s Mt. Moriah is reported only in the context of </w:t>
      </w:r>
      <w:proofErr w:type="spellStart"/>
      <w:r>
        <w:t>Shlomo’s</w:t>
      </w:r>
      <w:proofErr w:type="spellEnd"/>
      <w:r>
        <w:t xml:space="preserve"> construction efforts (</w:t>
      </w:r>
      <w:proofErr w:type="spellStart"/>
      <w:r>
        <w:t>Divrei</w:t>
      </w:r>
      <w:proofErr w:type="spellEnd"/>
      <w:r>
        <w:t xml:space="preserve"> </w:t>
      </w:r>
      <w:proofErr w:type="spellStart"/>
      <w:r>
        <w:t>Hayamim</w:t>
      </w:r>
      <w:proofErr w:type="spellEnd"/>
      <w:r>
        <w:t xml:space="preserve"> II, 3:1). Looking back, Avraham had indeed seen that this would be a mountain dedicated to interaction with Hashem (</w:t>
      </w:r>
      <w:proofErr w:type="spellStart"/>
      <w:r>
        <w:t>Bereishit</w:t>
      </w:r>
      <w:proofErr w:type="spellEnd"/>
      <w:r>
        <w:t xml:space="preserve"> 22:14).</w:t>
      </w:r>
    </w:p>
    <w:p w14:paraId="77DE2F49" w14:textId="77777777" w:rsidR="002F0DC2" w:rsidRDefault="002F0DC2" w:rsidP="002F0DC2">
      <w:pPr>
        <w:bidi w:val="0"/>
        <w:ind w:firstLine="426"/>
      </w:pPr>
      <w:r>
        <w:t xml:space="preserve">The first </w:t>
      </w:r>
      <w:r>
        <w:rPr>
          <w:i/>
          <w:iCs/>
        </w:rPr>
        <w:t xml:space="preserve">Lech </w:t>
      </w:r>
      <w:proofErr w:type="spellStart"/>
      <w:r>
        <w:rPr>
          <w:i/>
          <w:iCs/>
        </w:rPr>
        <w:t>lecha</w:t>
      </w:r>
      <w:proofErr w:type="spellEnd"/>
      <w:r>
        <w:t xml:space="preserve"> was Avraham’s first test, and the second one was his tenth and last test. This process shows the trajectory of his life work, which we will express as follows. The goal of Avraham’s going to </w:t>
      </w:r>
      <w:r>
        <w:rPr>
          <w:i/>
          <w:iCs/>
        </w:rPr>
        <w:t>Eretz Yisrael</w:t>
      </w:r>
      <w:r>
        <w:t xml:space="preserve"> was to reach the “top of the mountain” (Moriah) where he would be challenged by the greatest test so that his descendants would be able to see and be seen by Hashem in that place where Hashem’s presence dwells. His descendants would form a special nation, qualitatively closest to Hashem (see </w:t>
      </w:r>
      <w:proofErr w:type="spellStart"/>
      <w:r>
        <w:t>Shemot</w:t>
      </w:r>
      <w:proofErr w:type="spellEnd"/>
      <w:r>
        <w:t xml:space="preserve"> 33:16). </w:t>
      </w:r>
    </w:p>
    <w:p w14:paraId="21C90A65" w14:textId="77777777" w:rsidR="002F0DC2" w:rsidRDefault="002F0DC2" w:rsidP="002F0DC2">
      <w:pPr>
        <w:bidi w:val="0"/>
        <w:ind w:firstLine="426"/>
      </w:pPr>
      <w:r>
        <w:t xml:space="preserve">We will now see several similarities between the depiction of </w:t>
      </w:r>
      <w:proofErr w:type="spellStart"/>
      <w:r>
        <w:rPr>
          <w:i/>
          <w:iCs/>
        </w:rPr>
        <w:t>Akeidat</w:t>
      </w:r>
      <w:proofErr w:type="spellEnd"/>
      <w:r>
        <w:rPr>
          <w:i/>
          <w:iCs/>
        </w:rPr>
        <w:t xml:space="preserve"> Yitzchak</w:t>
      </w:r>
      <w:r>
        <w:t xml:space="preserve"> and the choosing of that same spot to build the </w:t>
      </w:r>
      <w:r>
        <w:rPr>
          <w:i/>
          <w:iCs/>
        </w:rPr>
        <w:t xml:space="preserve">Beit </w:t>
      </w:r>
      <w:proofErr w:type="spellStart"/>
      <w:r>
        <w:rPr>
          <w:i/>
          <w:iCs/>
        </w:rPr>
        <w:t>Hamikdash</w:t>
      </w:r>
      <w:proofErr w:type="spellEnd"/>
      <w:r>
        <w:t xml:space="preserve">. 1) In both events, the “hero” (Avraham and David) builds an altar and offers a burnt offering (see </w:t>
      </w:r>
      <w:proofErr w:type="spellStart"/>
      <w:r>
        <w:t>Bereishit</w:t>
      </w:r>
      <w:proofErr w:type="spellEnd"/>
      <w:r>
        <w:t xml:space="preserve"> 22: 9, 13; </w:t>
      </w:r>
      <w:proofErr w:type="spellStart"/>
      <w:r>
        <w:t>Divrei</w:t>
      </w:r>
      <w:proofErr w:type="spellEnd"/>
      <w:r>
        <w:t xml:space="preserve"> </w:t>
      </w:r>
      <w:proofErr w:type="spellStart"/>
      <w:r>
        <w:t>Hayamim</w:t>
      </w:r>
      <w:proofErr w:type="spellEnd"/>
      <w:r>
        <w:t xml:space="preserve"> I, 21:26). 2) Hashem decides where the altar is to be built. 3) An angel from the Heavens communicates with the leader (</w:t>
      </w:r>
      <w:proofErr w:type="spellStart"/>
      <w:r>
        <w:t>Bereishit</w:t>
      </w:r>
      <w:proofErr w:type="spellEnd"/>
      <w:r>
        <w:t xml:space="preserve"> 22:11; </w:t>
      </w:r>
      <w:proofErr w:type="spellStart"/>
      <w:r>
        <w:t>Divrei</w:t>
      </w:r>
      <w:proofErr w:type="spellEnd"/>
      <w:r>
        <w:t xml:space="preserve"> </w:t>
      </w:r>
      <w:proofErr w:type="spellStart"/>
      <w:r>
        <w:t>Hayamim</w:t>
      </w:r>
      <w:proofErr w:type="spellEnd"/>
      <w:r>
        <w:t xml:space="preserve"> I, 21:16). 4)</w:t>
      </w:r>
      <w:r>
        <w:rPr>
          <w:rFonts w:hint="cs"/>
          <w:rtl/>
        </w:rPr>
        <w:t xml:space="preserve"> </w:t>
      </w:r>
      <w:r>
        <w:rPr>
          <w:rFonts w:hint="cs"/>
        </w:rPr>
        <w:t>I</w:t>
      </w:r>
      <w:r>
        <w:t>t is stressed that both of them acted in the morning (</w:t>
      </w:r>
      <w:proofErr w:type="spellStart"/>
      <w:r>
        <w:t>Bereishit</w:t>
      </w:r>
      <w:proofErr w:type="spellEnd"/>
      <w:r>
        <w:t xml:space="preserve"> 22:3; Shmuel II, 24:11). 5) Both events are connected to a day #3 (</w:t>
      </w:r>
      <w:proofErr w:type="spellStart"/>
      <w:r>
        <w:t>Bereishit</w:t>
      </w:r>
      <w:proofErr w:type="spellEnd"/>
      <w:r>
        <w:t xml:space="preserve"> 22:4; </w:t>
      </w:r>
      <w:proofErr w:type="spellStart"/>
      <w:r>
        <w:t>Divrei</w:t>
      </w:r>
      <w:proofErr w:type="spellEnd"/>
      <w:r>
        <w:t xml:space="preserve"> </w:t>
      </w:r>
      <w:proofErr w:type="spellStart"/>
      <w:r>
        <w:t>Hayamim</w:t>
      </w:r>
      <w:proofErr w:type="spellEnd"/>
      <w:r>
        <w:t xml:space="preserve"> I, 21:12).</w:t>
      </w:r>
    </w:p>
    <w:p w14:paraId="38A0765F" w14:textId="77777777" w:rsidR="002F0DC2" w:rsidRDefault="002F0DC2" w:rsidP="002F0DC2">
      <w:pPr>
        <w:bidi w:val="0"/>
        <w:ind w:firstLine="426"/>
      </w:pPr>
      <w:r>
        <w:t xml:space="preserve">All of the connections point to the following lesson. In the times of David, a process was culminated that had begun in the period of the forefathers, when Avraham entered the Land and paved the way, through “the actions of the forefathers are a sign for the offspring.” This path brought us the Nation of Israel and its establishment in </w:t>
      </w:r>
      <w:r>
        <w:rPr>
          <w:i/>
          <w:iCs/>
        </w:rPr>
        <w:t>Eretz Yisrael</w:t>
      </w:r>
      <w:r>
        <w:t>.</w:t>
      </w:r>
    </w:p>
    <w:p w14:paraId="7EE9DE65" w14:textId="4B0B49F3" w:rsidR="002F0DC2" w:rsidRDefault="002F0DC2" w:rsidP="002F0DC2">
      <w:pPr>
        <w:bidi w:val="0"/>
        <w:ind w:firstLine="426"/>
      </w:pPr>
      <w:r>
        <w:t>Avraham lived in the Land (</w:t>
      </w:r>
      <w:proofErr w:type="spellStart"/>
      <w:r>
        <w:t>Bereishit</w:t>
      </w:r>
      <w:proofErr w:type="spellEnd"/>
      <w:r>
        <w:t xml:space="preserve"> 23:4), and prepared the turf for the fulfilling of the </w:t>
      </w:r>
      <w:proofErr w:type="spellStart"/>
      <w:r>
        <w:rPr>
          <w:i/>
          <w:iCs/>
        </w:rPr>
        <w:t>beracha</w:t>
      </w:r>
      <w:proofErr w:type="spellEnd"/>
      <w:r>
        <w:t xml:space="preserve"> he received – “I shall make you a great nation, I will bless you, I will make your name great, and you will be a blessing” (ibid. 12:2-3). The goal is that </w:t>
      </w:r>
      <w:r>
        <w:rPr>
          <w:i/>
          <w:iCs/>
        </w:rPr>
        <w:t>Am Yisrael</w:t>
      </w:r>
      <w:r>
        <w:t xml:space="preserve"> will establish an independent state in </w:t>
      </w:r>
      <w:r>
        <w:rPr>
          <w:i/>
          <w:iCs/>
        </w:rPr>
        <w:t>Eretz Yisrael</w:t>
      </w:r>
      <w:r>
        <w:t xml:space="preserve"> that will be a light for the nations of the world. This state shall have an army to protect its independence, and significant parts of its citizens will be like Avraham’s disciples – those who learn Torah and also fight with valor – as well as like the students of </w:t>
      </w:r>
      <w:r>
        <w:rPr>
          <w:color w:val="222222"/>
          <w:shd w:val="clear" w:color="auto" w:fill="FFFFFF"/>
        </w:rPr>
        <w:t>David,</w:t>
      </w:r>
      <w:r>
        <w:t xml:space="preserve"> who were gentle in the study halls and as hard as a tree on the battlefield (see </w:t>
      </w:r>
      <w:proofErr w:type="spellStart"/>
      <w:r>
        <w:t>Moed</w:t>
      </w:r>
      <w:proofErr w:type="spellEnd"/>
      <w:r>
        <w:t xml:space="preserve"> Katan 16b about </w:t>
      </w:r>
      <w:proofErr w:type="spellStart"/>
      <w:r>
        <w:t>Adino</w:t>
      </w:r>
      <w:proofErr w:type="spellEnd"/>
      <w:r>
        <w:t xml:space="preserve"> </w:t>
      </w:r>
      <w:proofErr w:type="spellStart"/>
      <w:r>
        <w:t>Ha’etzni</w:t>
      </w:r>
      <w:proofErr w:type="spellEnd"/>
      <w:r>
        <w:t xml:space="preserve">). Such students will merit to build the </w:t>
      </w:r>
      <w:r>
        <w:rPr>
          <w:i/>
          <w:iCs/>
        </w:rPr>
        <w:t xml:space="preserve">Beit </w:t>
      </w:r>
      <w:proofErr w:type="spellStart"/>
      <w:r>
        <w:rPr>
          <w:i/>
          <w:iCs/>
        </w:rPr>
        <w:t>Hamikdash</w:t>
      </w:r>
      <w:proofErr w:type="spellEnd"/>
      <w:r w:rsidRPr="00101CCA">
        <w:t>, in</w:t>
      </w:r>
      <w:r>
        <w:rPr>
          <w:i/>
          <w:iCs/>
        </w:rPr>
        <w:t xml:space="preserve"> </w:t>
      </w:r>
      <w:r>
        <w:t xml:space="preserve">which the prayers of Israel will be heard (see Melachim I, 8:32). </w:t>
      </w:r>
    </w:p>
    <w:p w14:paraId="7CA6270C" w14:textId="77777777" w:rsidR="002F0DC2" w:rsidRPr="00101CCA" w:rsidRDefault="002F0DC2" w:rsidP="002F0DC2">
      <w:pPr>
        <w:bidi w:val="0"/>
        <w:ind w:firstLine="426"/>
      </w:pP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77777777" w:rsidR="00F17B4E" w:rsidRDefault="00F17B4E" w:rsidP="00133962">
            <w:pPr>
              <w:bidi w:val="0"/>
              <w:spacing w:line="360" w:lineRule="auto"/>
              <w:jc w:val="center"/>
              <w:rPr>
                <w:b/>
                <w:bCs/>
                <w:sz w:val="18"/>
                <w:szCs w:val="18"/>
                <w:u w:val="single"/>
              </w:rPr>
            </w:pPr>
            <w:bookmarkStart w:id="2" w:name="_Hlk173845240"/>
            <w:bookmarkEnd w:id="1"/>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TableGrid"/>
              <w:tblW w:w="0" w:type="auto"/>
              <w:tblLook w:val="04A0" w:firstRow="1" w:lastRow="0" w:firstColumn="1" w:lastColumn="0" w:noHBand="0" w:noVBand="1"/>
            </w:tblPr>
            <w:tblGrid>
              <w:gridCol w:w="5605"/>
              <w:gridCol w:w="5605"/>
            </w:tblGrid>
            <w:tr w:rsidR="00F304BA" w14:paraId="674CD5AD" w14:textId="77777777" w:rsidTr="00F304BA">
              <w:tc>
                <w:tcPr>
                  <w:tcW w:w="5605" w:type="dxa"/>
                </w:tcPr>
                <w:p w14:paraId="3F94B768" w14:textId="77777777" w:rsidR="00F304BA" w:rsidRPr="001B6D29" w:rsidRDefault="00F304BA" w:rsidP="00F304BA">
                  <w:pPr>
                    <w:framePr w:hSpace="162" w:wrap="around" w:vAnchor="text" w:hAnchor="margin" w:xAlign="center" w:y="361"/>
                    <w:tabs>
                      <w:tab w:val="left" w:pos="743"/>
                    </w:tabs>
                    <w:bidi w:val="0"/>
                    <w:ind w:right="34"/>
                    <w:jc w:val="center"/>
                    <w:rPr>
                      <w:rFonts w:cs="Miriam"/>
                      <w:b/>
                      <w:bCs/>
                      <w:sz w:val="16"/>
                      <w:szCs w:val="16"/>
                      <w:lang w:eastAsia="he-IL"/>
                    </w:rPr>
                  </w:pPr>
                  <w:r w:rsidRPr="001B6D29">
                    <w:rPr>
                      <w:rFonts w:cs="Miriam"/>
                      <w:b/>
                      <w:bCs/>
                      <w:sz w:val="16"/>
                      <w:szCs w:val="16"/>
                      <w:lang w:eastAsia="he-IL"/>
                    </w:rPr>
                    <w:t xml:space="preserve">Mr. Yitzhak </w:t>
                  </w:r>
                  <w:proofErr w:type="spellStart"/>
                  <w:r w:rsidRPr="001B6D29">
                    <w:rPr>
                      <w:rFonts w:cs="Miriam"/>
                      <w:b/>
                      <w:bCs/>
                      <w:sz w:val="16"/>
                      <w:szCs w:val="16"/>
                      <w:lang w:eastAsia="he-IL"/>
                    </w:rPr>
                    <w:t>Aharon</w:t>
                  </w:r>
                  <w:proofErr w:type="spellEnd"/>
                  <w:r w:rsidRPr="001B6D29">
                    <w:rPr>
                      <w:rFonts w:cs="Miriam"/>
                      <w:b/>
                      <w:bCs/>
                      <w:sz w:val="16"/>
                      <w:szCs w:val="16"/>
                      <w:lang w:eastAsia="he-IL"/>
                    </w:rPr>
                    <w:t xml:space="preserve"> &amp; Mrs. </w:t>
                  </w:r>
                  <w:proofErr w:type="spellStart"/>
                  <w:r w:rsidRPr="001B6D29">
                    <w:rPr>
                      <w:rFonts w:cs="Miriam"/>
                      <w:b/>
                      <w:bCs/>
                      <w:sz w:val="16"/>
                      <w:szCs w:val="16"/>
                      <w:lang w:eastAsia="he-IL"/>
                    </w:rPr>
                    <w:t>Doba</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Moinester</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z"l</w:t>
                  </w:r>
                  <w:proofErr w:type="spellEnd"/>
                </w:p>
                <w:p w14:paraId="6AF30113" w14:textId="762E8DA5" w:rsidR="00F304BA" w:rsidRPr="00F304BA" w:rsidRDefault="00F304BA" w:rsidP="00F304BA">
                  <w:pPr>
                    <w:framePr w:hSpace="162" w:wrap="around" w:vAnchor="text" w:hAnchor="margin" w:xAlign="center" w:y="361"/>
                    <w:tabs>
                      <w:tab w:val="left" w:pos="743"/>
                    </w:tabs>
                    <w:bidi w:val="0"/>
                    <w:ind w:right="34"/>
                    <w:jc w:val="center"/>
                    <w:rPr>
                      <w:rFonts w:cs="Miriam"/>
                      <w:sz w:val="16"/>
                      <w:szCs w:val="16"/>
                      <w:lang w:eastAsia="he-IL"/>
                    </w:rPr>
                  </w:pPr>
                  <w:r w:rsidRPr="00F304BA">
                    <w:rPr>
                      <w:rFonts w:cs="Miriam"/>
                      <w:sz w:val="16"/>
                      <w:szCs w:val="16"/>
                      <w:lang w:eastAsia="he-IL"/>
                    </w:rPr>
                    <w:t>Elul 5, 5782 / Elul 23, 5774</w:t>
                  </w:r>
                </w:p>
              </w:tc>
              <w:tc>
                <w:tcPr>
                  <w:tcW w:w="5605" w:type="dxa"/>
                </w:tcPr>
                <w:p w14:paraId="597A3D06" w14:textId="687F8788" w:rsidR="009063D2" w:rsidRDefault="009063D2" w:rsidP="009063D2">
                  <w:pPr>
                    <w:jc w:val="center"/>
                    <w:rPr>
                      <w:rFonts w:asciiTheme="minorBidi" w:hAnsiTheme="minorBidi" w:cstheme="minorBidi"/>
                      <w:sz w:val="16"/>
                      <w:szCs w:val="16"/>
                    </w:rPr>
                  </w:pPr>
                  <w:r w:rsidRPr="009D4B2A">
                    <w:rPr>
                      <w:rFonts w:asciiTheme="minorBidi" w:hAnsiTheme="minorBidi" w:cstheme="minorBidi"/>
                      <w:b/>
                      <w:bCs/>
                      <w:sz w:val="16"/>
                      <w:szCs w:val="16"/>
                    </w:rPr>
                    <w:t xml:space="preserve">George Weinstein, </w:t>
                  </w:r>
                  <w:r w:rsidRPr="009D4B2A">
                    <w:rPr>
                      <w:rFonts w:asciiTheme="minorBidi" w:hAnsiTheme="minorBidi" w:cstheme="minorBidi"/>
                      <w:sz w:val="16"/>
                      <w:szCs w:val="16"/>
                    </w:rPr>
                    <w:t xml:space="preserve">Gershon ben </w:t>
                  </w:r>
                  <w:proofErr w:type="spellStart"/>
                  <w:r w:rsidRPr="009D4B2A">
                    <w:rPr>
                      <w:rFonts w:asciiTheme="minorBidi" w:hAnsiTheme="minorBidi" w:cstheme="minorBidi"/>
                      <w:sz w:val="16"/>
                      <w:szCs w:val="16"/>
                    </w:rPr>
                    <w:t>Yehudah</w:t>
                  </w:r>
                  <w:proofErr w:type="spellEnd"/>
                  <w:r w:rsidRPr="009D4B2A">
                    <w:rPr>
                      <w:rFonts w:asciiTheme="minorBidi" w:hAnsiTheme="minorBidi" w:cstheme="minorBidi"/>
                      <w:sz w:val="16"/>
                      <w:szCs w:val="16"/>
                    </w:rPr>
                    <w:t xml:space="preserve"> Mayer</w:t>
                  </w:r>
                  <w:r>
                    <w:rPr>
                      <w:rFonts w:asciiTheme="minorBidi" w:hAnsiTheme="minorBidi" w:cstheme="minorBidi"/>
                      <w:sz w:val="16"/>
                      <w:szCs w:val="16"/>
                    </w:rPr>
                    <w:t xml:space="preserve"> </w:t>
                  </w:r>
                  <w:proofErr w:type="spellStart"/>
                  <w:r>
                    <w:rPr>
                      <w:rFonts w:asciiTheme="minorBidi" w:hAnsiTheme="minorBidi" w:cstheme="minorBidi"/>
                      <w:sz w:val="16"/>
                      <w:szCs w:val="16"/>
                    </w:rPr>
                    <w:t>z"l</w:t>
                  </w:r>
                  <w:proofErr w:type="spellEnd"/>
                  <w:r w:rsidRPr="009D4B2A">
                    <w:rPr>
                      <w:rFonts w:asciiTheme="minorBidi" w:hAnsiTheme="minorBidi" w:cstheme="minorBidi"/>
                      <w:sz w:val="16"/>
                      <w:szCs w:val="16"/>
                    </w:rPr>
                    <w:t xml:space="preserve"> </w:t>
                  </w:r>
                </w:p>
                <w:p w14:paraId="077D26F9" w14:textId="4893D271" w:rsidR="00F304BA" w:rsidRPr="009063D2" w:rsidRDefault="009063D2" w:rsidP="009063D2">
                  <w:pPr>
                    <w:jc w:val="center"/>
                    <w:rPr>
                      <w:rFonts w:asciiTheme="minorBidi" w:hAnsiTheme="minorBidi" w:cstheme="minorBidi"/>
                      <w:sz w:val="16"/>
                      <w:szCs w:val="16"/>
                    </w:rPr>
                  </w:pPr>
                  <w:r w:rsidRPr="009D4B2A">
                    <w:rPr>
                      <w:rFonts w:asciiTheme="minorBidi" w:hAnsiTheme="minorBidi" w:cstheme="minorBidi"/>
                      <w:sz w:val="16"/>
                      <w:szCs w:val="16"/>
                    </w:rPr>
                    <w:t>a lover of the Jewish Nation Torah and Land.</w:t>
                  </w:r>
                </w:p>
              </w:tc>
            </w:tr>
          </w:tbl>
          <w:p w14:paraId="59428857" w14:textId="3A0F9AF2" w:rsidR="00516A08" w:rsidRPr="00133962" w:rsidRDefault="00516A08" w:rsidP="000354D7">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5C8C22CC" w:rsidR="00516A08" w:rsidRPr="00133962" w:rsidRDefault="00516A08" w:rsidP="00F85616">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1BF11447" w14:textId="77777777" w:rsidR="00C54EBE" w:rsidRPr="005C48BB" w:rsidRDefault="00C54EBE" w:rsidP="00C54EBE">
            <w:pPr>
              <w:pStyle w:val="NormalWeb"/>
              <w:spacing w:before="0" w:beforeAutospacing="0" w:after="0" w:afterAutospacing="0"/>
              <w:ind w:left="540" w:right="360"/>
              <w:jc w:val="center"/>
              <w:rPr>
                <w:b/>
                <w:bCs/>
                <w:sz w:val="6"/>
                <w:szCs w:val="6"/>
              </w:rPr>
            </w:pPr>
          </w:p>
          <w:p w14:paraId="3724F0FD" w14:textId="4DB03D1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3F4BDB08" w14:textId="236EDB6F" w:rsidR="00034F59" w:rsidRDefault="004A359E" w:rsidP="00F304BA">
      <w:pPr>
        <w:bidi w:val="0"/>
        <w:ind w:firstLine="426"/>
        <w:jc w:val="center"/>
      </w:pPr>
      <w:r>
        <w:rPr>
          <w:noProof/>
        </w:rPr>
        <w:drawing>
          <wp:anchor distT="0" distB="0" distL="114300" distR="114300" simplePos="0" relativeHeight="251658752" behindDoc="1" locked="0" layoutInCell="1" allowOverlap="1" wp14:anchorId="650FB05C" wp14:editId="13DA26CB">
            <wp:simplePos x="0" y="0"/>
            <wp:positionH relativeFrom="margin">
              <wp:posOffset>-351155</wp:posOffset>
            </wp:positionH>
            <wp:positionV relativeFrom="paragraph">
              <wp:posOffset>6350</wp:posOffset>
            </wp:positionV>
            <wp:extent cx="7498080" cy="36068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60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2BD9">
        <w:rPr>
          <w:noProof/>
        </w:rPr>
        <w:drawing>
          <wp:anchor distT="0" distB="0" distL="114300" distR="114300" simplePos="0" relativeHeight="251661824" behindDoc="0" locked="1" layoutInCell="1" allowOverlap="1" wp14:anchorId="44C1587F" wp14:editId="01F2B851">
            <wp:simplePos x="0" y="0"/>
            <wp:positionH relativeFrom="margin">
              <wp:posOffset>2059305</wp:posOffset>
            </wp:positionH>
            <wp:positionV relativeFrom="margin">
              <wp:posOffset>9356090</wp:posOffset>
            </wp:positionV>
            <wp:extent cx="3358515" cy="49530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4953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 w:name="_Hlk174962969"/>
      <w:bookmarkEnd w:id="3"/>
    </w:p>
    <w:p w14:paraId="0AE0CE9E" w14:textId="6D633FCA" w:rsidR="00711BAF" w:rsidRDefault="00711BAF" w:rsidP="00711BAF">
      <w:pPr>
        <w:tabs>
          <w:tab w:val="left" w:pos="1803"/>
        </w:tabs>
        <w:bidi w:val="0"/>
      </w:pPr>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603CCD24" w14:textId="77777777" w:rsidR="00202AC2" w:rsidRDefault="00202AC2" w:rsidP="00202AC2">
      <w:pPr>
        <w:tabs>
          <w:tab w:val="left" w:pos="1803"/>
        </w:tabs>
        <w:bidi w:val="0"/>
        <w:rPr>
          <w:noProof/>
        </w:rPr>
      </w:pPr>
    </w:p>
    <w:p w14:paraId="54766001" w14:textId="5F79D713" w:rsidR="002969AE" w:rsidRDefault="005B7AD3" w:rsidP="00202AC2">
      <w:pPr>
        <w:tabs>
          <w:tab w:val="left" w:pos="1803"/>
        </w:tabs>
        <w:bidi w:val="0"/>
      </w:pPr>
      <w:r>
        <w:rPr>
          <w:noProof/>
        </w:rPr>
        <w:lastRenderedPageBreak/>
        <w:drawing>
          <wp:anchor distT="0" distB="0" distL="114300" distR="114300" simplePos="0" relativeHeight="251663872" behindDoc="0" locked="1" layoutInCell="1" allowOverlap="1" wp14:anchorId="638A7A2B" wp14:editId="096D3C5B">
            <wp:simplePos x="0" y="0"/>
            <wp:positionH relativeFrom="margin">
              <wp:align>left</wp:align>
            </wp:positionH>
            <wp:positionV relativeFrom="paragraph">
              <wp:posOffset>-399415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6B4E2F" w14:textId="77777777" w:rsidR="004A359E" w:rsidRDefault="004A359E" w:rsidP="002969AE">
      <w:pPr>
        <w:tabs>
          <w:tab w:val="left" w:pos="1803"/>
        </w:tabs>
        <w:bidi w:val="0"/>
      </w:pPr>
    </w:p>
    <w:p w14:paraId="652402EB" w14:textId="5B6EF2F3" w:rsidR="00040676" w:rsidRDefault="00040676" w:rsidP="004A359E">
      <w:pPr>
        <w:tabs>
          <w:tab w:val="left" w:pos="1803"/>
        </w:tabs>
        <w:bidi w:val="0"/>
      </w:pPr>
      <w:r>
        <w:t>by Rav Daniel Mann</w:t>
      </w:r>
    </w:p>
    <w:p w14:paraId="3190E0CA" w14:textId="77777777" w:rsidR="00C658FD" w:rsidRDefault="00C658FD" w:rsidP="00C658FD">
      <w:pPr>
        <w:bidi w:val="0"/>
        <w:rPr>
          <w:b/>
          <w:bCs/>
          <w:color w:val="D85640"/>
          <w:sz w:val="28"/>
          <w:szCs w:val="28"/>
        </w:rPr>
      </w:pPr>
    </w:p>
    <w:p w14:paraId="7BE54B16" w14:textId="77777777" w:rsidR="002F0DC2" w:rsidRPr="00C04633" w:rsidRDefault="002F0DC2" w:rsidP="002F0DC2">
      <w:pPr>
        <w:bidi w:val="0"/>
        <w:rPr>
          <w:b/>
          <w:bCs/>
        </w:rPr>
      </w:pPr>
      <w:bookmarkStart w:id="4" w:name="_Hlk209187282"/>
      <w:r>
        <w:rPr>
          <w:b/>
          <w:bCs/>
          <w:i/>
          <w:iCs/>
          <w:color w:val="D85640"/>
          <w:sz w:val="28"/>
          <w:szCs w:val="28"/>
        </w:rPr>
        <w:t xml:space="preserve">Kohen </w:t>
      </w:r>
      <w:r>
        <w:rPr>
          <w:b/>
          <w:bCs/>
          <w:color w:val="D85640"/>
          <w:sz w:val="28"/>
          <w:szCs w:val="28"/>
        </w:rPr>
        <w:t>Who Has Trouble Standing</w:t>
      </w:r>
      <w:r w:rsidRPr="007A22E3">
        <w:rPr>
          <w:b/>
          <w:bCs/>
          <w:i/>
          <w:iCs/>
          <w:color w:val="D85640"/>
          <w:sz w:val="28"/>
          <w:szCs w:val="28"/>
        </w:rPr>
        <w:t xml:space="preserve"> </w:t>
      </w:r>
    </w:p>
    <w:p w14:paraId="267E8D98" w14:textId="77777777" w:rsidR="002F0DC2" w:rsidRPr="002822FD" w:rsidRDefault="002F0DC2" w:rsidP="002F0DC2">
      <w:pPr>
        <w:bidi w:val="0"/>
        <w:rPr>
          <w:b/>
          <w:bCs/>
          <w:color w:val="D85640"/>
        </w:rPr>
      </w:pPr>
    </w:p>
    <w:p w14:paraId="600ACAC5" w14:textId="77777777" w:rsidR="002F0DC2" w:rsidRPr="009E666D" w:rsidRDefault="002F0DC2" w:rsidP="002F0DC2">
      <w:pPr>
        <w:shd w:val="clear" w:color="auto" w:fill="FFFFFF"/>
        <w:bidi w:val="0"/>
        <w:rPr>
          <w:color w:val="222222"/>
        </w:rPr>
      </w:pPr>
      <w:r w:rsidRPr="002F0DC2">
        <w:rPr>
          <w:b/>
          <w:bCs/>
          <w:color w:val="D85640"/>
          <w:sz w:val="24"/>
          <w:szCs w:val="24"/>
          <w:u w:val="single"/>
        </w:rPr>
        <w:t>Question</w:t>
      </w:r>
      <w:r w:rsidRPr="002F0DC2">
        <w:rPr>
          <w:b/>
          <w:bCs/>
          <w:color w:val="D85640"/>
          <w:sz w:val="24"/>
          <w:szCs w:val="24"/>
        </w:rPr>
        <w:t>:</w:t>
      </w:r>
      <w:r w:rsidRPr="002F0DC2">
        <w:rPr>
          <w:sz w:val="24"/>
          <w:szCs w:val="24"/>
        </w:rPr>
        <w:t xml:space="preserve"> </w:t>
      </w:r>
      <w:r>
        <w:rPr>
          <w:color w:val="222222"/>
          <w:shd w:val="clear" w:color="auto" w:fill="FFFFFF"/>
        </w:rPr>
        <w:t xml:space="preserve">I, an elderly </w:t>
      </w:r>
      <w:r>
        <w:rPr>
          <w:i/>
          <w:iCs/>
          <w:color w:val="222222"/>
          <w:shd w:val="clear" w:color="auto" w:fill="FFFFFF"/>
        </w:rPr>
        <w:t>kohen</w:t>
      </w:r>
      <w:r>
        <w:rPr>
          <w:color w:val="222222"/>
          <w:shd w:val="clear" w:color="auto" w:fill="FFFFFF"/>
        </w:rPr>
        <w:t xml:space="preserve"> with weak legs and poor balance, walk with a cane. I walk up to </w:t>
      </w:r>
      <w:proofErr w:type="spellStart"/>
      <w:r>
        <w:rPr>
          <w:i/>
          <w:iCs/>
          <w:color w:val="222222"/>
          <w:shd w:val="clear" w:color="auto" w:fill="FFFFFF"/>
        </w:rPr>
        <w:t>duchen</w:t>
      </w:r>
      <w:proofErr w:type="spellEnd"/>
      <w:r>
        <w:rPr>
          <w:color w:val="222222"/>
          <w:shd w:val="clear" w:color="auto" w:fill="FFFFFF"/>
        </w:rPr>
        <w:t xml:space="preserve"> with a cane, stand near a wall, and lean during </w:t>
      </w:r>
      <w:proofErr w:type="spellStart"/>
      <w:r>
        <w:rPr>
          <w:i/>
          <w:iCs/>
          <w:color w:val="222222"/>
          <w:shd w:val="clear" w:color="auto" w:fill="FFFFFF"/>
        </w:rPr>
        <w:t>Birkat</w:t>
      </w:r>
      <w:proofErr w:type="spellEnd"/>
      <w:r>
        <w:rPr>
          <w:i/>
          <w:iCs/>
          <w:color w:val="222222"/>
          <w:shd w:val="clear" w:color="auto" w:fill="FFFFFF"/>
        </w:rPr>
        <w:t xml:space="preserve"> Kohanim </w:t>
      </w:r>
      <w:r>
        <w:rPr>
          <w:color w:val="222222"/>
          <w:shd w:val="clear" w:color="auto" w:fill="FFFFFF"/>
        </w:rPr>
        <w:t>(=</w:t>
      </w:r>
      <w:r>
        <w:rPr>
          <w:i/>
          <w:iCs/>
          <w:color w:val="222222"/>
          <w:shd w:val="clear" w:color="auto" w:fill="FFFFFF"/>
        </w:rPr>
        <w:t>BK</w:t>
      </w:r>
      <w:r>
        <w:rPr>
          <w:color w:val="222222"/>
          <w:shd w:val="clear" w:color="auto" w:fill="FFFFFF"/>
        </w:rPr>
        <w:t>). Is that valid? Can you suggest a good plan of action?</w:t>
      </w:r>
      <w:r w:rsidRPr="009E666D">
        <w:rPr>
          <w:color w:val="222222"/>
          <w:shd w:val="clear" w:color="auto" w:fill="FFFFFF"/>
        </w:rPr>
        <w:t xml:space="preserve"> </w:t>
      </w:r>
      <w:bookmarkEnd w:id="4"/>
    </w:p>
    <w:p w14:paraId="1911DD82" w14:textId="77777777" w:rsidR="002F0DC2" w:rsidRPr="002C1B93" w:rsidRDefault="002F0DC2" w:rsidP="002F0DC2">
      <w:pPr>
        <w:bidi w:val="0"/>
      </w:pPr>
    </w:p>
    <w:p w14:paraId="5D6B73F4" w14:textId="77777777" w:rsidR="002F0DC2" w:rsidRPr="00EE0B74" w:rsidRDefault="002F0DC2" w:rsidP="002F0DC2">
      <w:pPr>
        <w:bidi w:val="0"/>
        <w:ind w:right="26"/>
        <w:rPr>
          <w:rFonts w:hint="cs"/>
          <w:rtl/>
        </w:rPr>
      </w:pPr>
      <w:r w:rsidRPr="002F0DC2">
        <w:rPr>
          <w:b/>
          <w:bCs/>
          <w:color w:val="D85640"/>
          <w:sz w:val="24"/>
          <w:szCs w:val="24"/>
          <w:u w:val="single"/>
        </w:rPr>
        <w:t>Answer</w:t>
      </w:r>
      <w:r w:rsidRPr="002F0DC2">
        <w:rPr>
          <w:b/>
          <w:bCs/>
          <w:color w:val="D85640"/>
          <w:sz w:val="24"/>
          <w:szCs w:val="24"/>
        </w:rPr>
        <w:t>:</w:t>
      </w:r>
      <w:r w:rsidRPr="002F0DC2">
        <w:rPr>
          <w:sz w:val="24"/>
          <w:szCs w:val="24"/>
        </w:rPr>
        <w:t xml:space="preserve"> </w:t>
      </w:r>
      <w:r>
        <w:t>Asking your question</w:t>
      </w:r>
      <w:r w:rsidRPr="00C04633">
        <w:t xml:space="preserve"> </w:t>
      </w:r>
      <w:r>
        <w:t xml:space="preserve">takes bravery, as we understand that the prospect of not being able to </w:t>
      </w:r>
      <w:proofErr w:type="spellStart"/>
      <w:r>
        <w:rPr>
          <w:i/>
          <w:iCs/>
        </w:rPr>
        <w:t>duchen</w:t>
      </w:r>
      <w:proofErr w:type="spellEnd"/>
      <w:r>
        <w:t xml:space="preserve"> would be a great disappointment.</w:t>
      </w:r>
    </w:p>
    <w:p w14:paraId="7E4C4C86" w14:textId="77777777" w:rsidR="002F0DC2" w:rsidRDefault="002F0DC2" w:rsidP="002F0DC2">
      <w:pPr>
        <w:bidi w:val="0"/>
        <w:ind w:firstLine="450"/>
      </w:pPr>
      <w:r>
        <w:t xml:space="preserve">We will start with the strict requirements. </w:t>
      </w:r>
      <w:r>
        <w:rPr>
          <w:i/>
          <w:iCs/>
        </w:rPr>
        <w:t xml:space="preserve">BK </w:t>
      </w:r>
      <w:r>
        <w:t xml:space="preserve">must be done standing (Shulchan </w:t>
      </w:r>
      <w:proofErr w:type="spellStart"/>
      <w:r>
        <w:t>Aruch</w:t>
      </w:r>
      <w:proofErr w:type="spellEnd"/>
      <w:r>
        <w:t xml:space="preserve">, </w:t>
      </w:r>
      <w:proofErr w:type="spellStart"/>
      <w:r>
        <w:t>Orach</w:t>
      </w:r>
      <w:proofErr w:type="spellEnd"/>
      <w:r>
        <w:t xml:space="preserve"> Chayim 128:14).</w:t>
      </w:r>
      <w:r>
        <w:rPr>
          <w:rFonts w:hint="cs"/>
          <w:rtl/>
        </w:rPr>
        <w:t xml:space="preserve"> </w:t>
      </w:r>
      <w:r>
        <w:t xml:space="preserve">The </w:t>
      </w:r>
      <w:proofErr w:type="spellStart"/>
      <w:r>
        <w:rPr>
          <w:i/>
          <w:iCs/>
        </w:rPr>
        <w:t>gemara</w:t>
      </w:r>
      <w:proofErr w:type="spellEnd"/>
      <w:r>
        <w:t xml:space="preserve"> (</w:t>
      </w:r>
      <w:proofErr w:type="spellStart"/>
      <w:r>
        <w:t>Sota</w:t>
      </w:r>
      <w:proofErr w:type="spellEnd"/>
      <w:r>
        <w:t xml:space="preserve"> 38a) learns this from the Torah’s connecting of the </w:t>
      </w:r>
      <w:r>
        <w:rPr>
          <w:i/>
          <w:iCs/>
        </w:rPr>
        <w:t xml:space="preserve">kohen’s </w:t>
      </w:r>
      <w:proofErr w:type="spellStart"/>
      <w:r>
        <w:rPr>
          <w:i/>
          <w:iCs/>
        </w:rPr>
        <w:t>beracha</w:t>
      </w:r>
      <w:proofErr w:type="spellEnd"/>
      <w:r>
        <w:rPr>
          <w:i/>
          <w:iCs/>
        </w:rPr>
        <w:t xml:space="preserve"> </w:t>
      </w:r>
      <w:r>
        <w:t xml:space="preserve">to his service in the </w:t>
      </w:r>
      <w:proofErr w:type="spellStart"/>
      <w:r>
        <w:rPr>
          <w:i/>
          <w:iCs/>
        </w:rPr>
        <w:t>Mikdash</w:t>
      </w:r>
      <w:proofErr w:type="spellEnd"/>
      <w:r>
        <w:t xml:space="preserve">, which must be done standing. Because standing is a full requirement, if one leans on something during </w:t>
      </w:r>
      <w:r>
        <w:rPr>
          <w:i/>
          <w:iCs/>
        </w:rPr>
        <w:t>BK</w:t>
      </w:r>
      <w:r>
        <w:t>, it is invalid</w:t>
      </w:r>
      <w:r>
        <w:rPr>
          <w:i/>
          <w:iCs/>
        </w:rPr>
        <w:t xml:space="preserve"> </w:t>
      </w:r>
      <w:r>
        <w:t xml:space="preserve">(Mishna </w:t>
      </w:r>
      <w:proofErr w:type="spellStart"/>
      <w:r>
        <w:t>Berura</w:t>
      </w:r>
      <w:proofErr w:type="spellEnd"/>
      <w:r>
        <w:t xml:space="preserve"> 128:5</w:t>
      </w:r>
      <w:r>
        <w:rPr>
          <w:rFonts w:hint="cs"/>
          <w:rtl/>
        </w:rPr>
        <w:t>1</w:t>
      </w:r>
      <w:r>
        <w:t xml:space="preserve">). However, one may lean a little, as long as removing the thing he is leaning on would not make him fall (see </w:t>
      </w:r>
      <w:proofErr w:type="spellStart"/>
      <w:r>
        <w:t>Zevachim</w:t>
      </w:r>
      <w:proofErr w:type="spellEnd"/>
      <w:r>
        <w:t xml:space="preserve"> 24a; Mishna </w:t>
      </w:r>
      <w:proofErr w:type="spellStart"/>
      <w:r>
        <w:t>Berura</w:t>
      </w:r>
      <w:proofErr w:type="spellEnd"/>
      <w:r>
        <w:t xml:space="preserve"> 94:22). It is also absolutely required for </w:t>
      </w:r>
      <w:r>
        <w:rPr>
          <w:i/>
          <w:iCs/>
        </w:rPr>
        <w:t>kohanim</w:t>
      </w:r>
      <w:r>
        <w:t xml:space="preserve"> to lift their hands in the subscribed manner for </w:t>
      </w:r>
      <w:r>
        <w:rPr>
          <w:i/>
          <w:iCs/>
        </w:rPr>
        <w:t xml:space="preserve">BK </w:t>
      </w:r>
      <w:r>
        <w:t xml:space="preserve">(Shulchan </w:t>
      </w:r>
      <w:proofErr w:type="spellStart"/>
      <w:r>
        <w:t>Aruch</w:t>
      </w:r>
      <w:proofErr w:type="spellEnd"/>
      <w:r>
        <w:t xml:space="preserve"> ibid.; </w:t>
      </w:r>
      <w:proofErr w:type="spellStart"/>
      <w:r>
        <w:t>Sota</w:t>
      </w:r>
      <w:proofErr w:type="spellEnd"/>
      <w:r>
        <w:t xml:space="preserve"> 38a). This makes balance more difficult. You thus must figure out if you can use the wall for balance/security and “pass this test.” </w:t>
      </w:r>
    </w:p>
    <w:p w14:paraId="5020BEAB" w14:textId="77777777" w:rsidR="002F0DC2" w:rsidRDefault="002F0DC2" w:rsidP="002F0DC2">
      <w:pPr>
        <w:bidi w:val="0"/>
        <w:ind w:firstLine="450"/>
      </w:pPr>
      <w:r>
        <w:t xml:space="preserve">Realize that there are legitimate corners to cut to help you qualify. The Mishna </w:t>
      </w:r>
      <w:proofErr w:type="spellStart"/>
      <w:r>
        <w:t>Berura</w:t>
      </w:r>
      <w:proofErr w:type="spellEnd"/>
      <w:r>
        <w:t xml:space="preserve"> (128:5</w:t>
      </w:r>
      <w:r>
        <w:rPr>
          <w:rFonts w:hint="cs"/>
          <w:rtl/>
        </w:rPr>
        <w:t>2</w:t>
      </w:r>
      <w:r>
        <w:t xml:space="preserve">) accepts the </w:t>
      </w:r>
      <w:proofErr w:type="spellStart"/>
      <w:r>
        <w:t>Ktav</w:t>
      </w:r>
      <w:proofErr w:type="spellEnd"/>
      <w:r>
        <w:t xml:space="preserve"> </w:t>
      </w:r>
      <w:proofErr w:type="spellStart"/>
      <w:r>
        <w:t>Sofer’s</w:t>
      </w:r>
      <w:proofErr w:type="spellEnd"/>
      <w:r>
        <w:t xml:space="preserve"> (OC 13) idea that the </w:t>
      </w:r>
      <w:r>
        <w:rPr>
          <w:i/>
          <w:iCs/>
        </w:rPr>
        <w:t xml:space="preserve">kohen </w:t>
      </w:r>
      <w:r>
        <w:t xml:space="preserve">needs to lift his hands only when he pronounces each individual word; he can rest in between. The same thing should be true regarding standing – one may lean as he likes in between pronouncing the words (Even Yisrael VII:10; </w:t>
      </w:r>
      <w:proofErr w:type="spellStart"/>
      <w:r>
        <w:t>Dirshu</w:t>
      </w:r>
      <w:proofErr w:type="spellEnd"/>
      <w:r>
        <w:t xml:space="preserve"> 128:70).  </w:t>
      </w:r>
    </w:p>
    <w:p w14:paraId="133F880E" w14:textId="77777777" w:rsidR="002F0DC2" w:rsidRDefault="002F0DC2" w:rsidP="002F0DC2">
      <w:pPr>
        <w:bidi w:val="0"/>
        <w:ind w:firstLine="450"/>
      </w:pPr>
      <w:r>
        <w:t xml:space="preserve">Let us rule out another question. A </w:t>
      </w:r>
      <w:r>
        <w:rPr>
          <w:i/>
          <w:iCs/>
        </w:rPr>
        <w:t xml:space="preserve">kohen </w:t>
      </w:r>
      <w:r w:rsidRPr="00B90431">
        <w:t>may</w:t>
      </w:r>
      <w:r>
        <w:t xml:space="preserve"> not </w:t>
      </w:r>
      <w:proofErr w:type="spellStart"/>
      <w:r>
        <w:rPr>
          <w:i/>
          <w:iCs/>
        </w:rPr>
        <w:t>duchen</w:t>
      </w:r>
      <w:proofErr w:type="spellEnd"/>
      <w:r>
        <w:t xml:space="preserve"> with blemishes on visible parts of the body because they distract the congregation’s attention (Shulchan </w:t>
      </w:r>
      <w:proofErr w:type="spellStart"/>
      <w:r>
        <w:t>Aruch</w:t>
      </w:r>
      <w:proofErr w:type="spellEnd"/>
      <w:r>
        <w:t xml:space="preserve"> ibid. 30). Arguably, people could view your cane as distracting. However, this is not a problem. First, this is a questionable assumption. Second, if people are used to a distraction, e.g., the situation has existed for 30 days, it is no longer distracting (ibid.). Furthermore, since the cane is not in your hand during </w:t>
      </w:r>
      <w:r w:rsidRPr="005B7C28">
        <w:rPr>
          <w:i/>
          <w:iCs/>
        </w:rPr>
        <w:t>BK</w:t>
      </w:r>
      <w:r>
        <w:t>, it is not a halachic issue.</w:t>
      </w:r>
    </w:p>
    <w:p w14:paraId="07534413" w14:textId="77777777" w:rsidR="002F0DC2" w:rsidRDefault="002F0DC2" w:rsidP="002F0DC2">
      <w:pPr>
        <w:bidi w:val="0"/>
        <w:ind w:firstLine="450"/>
      </w:pPr>
      <w:r>
        <w:t xml:space="preserve">We did not find discussion on the presumably most physically difficult part of the process – turning around during the </w:t>
      </w:r>
      <w:proofErr w:type="spellStart"/>
      <w:r>
        <w:rPr>
          <w:i/>
          <w:iCs/>
        </w:rPr>
        <w:t>beracha</w:t>
      </w:r>
      <w:proofErr w:type="spellEnd"/>
      <w:r>
        <w:t xml:space="preserve">, which </w:t>
      </w:r>
      <w:r>
        <w:rPr>
          <w:i/>
          <w:iCs/>
        </w:rPr>
        <w:t xml:space="preserve">kohanim </w:t>
      </w:r>
      <w:r>
        <w:t xml:space="preserve">do with the hands already up. We will share two good solutions for this challenge, after discussing the practice of turning around. The most important parts of </w:t>
      </w:r>
      <w:r>
        <w:rPr>
          <w:i/>
          <w:iCs/>
        </w:rPr>
        <w:t>davening</w:t>
      </w:r>
      <w:r>
        <w:t xml:space="preserve"> are done facing the </w:t>
      </w:r>
      <w:proofErr w:type="spellStart"/>
      <w:r>
        <w:rPr>
          <w:i/>
          <w:iCs/>
        </w:rPr>
        <w:t>aron</w:t>
      </w:r>
      <w:proofErr w:type="spellEnd"/>
      <w:r>
        <w:rPr>
          <w:i/>
          <w:iCs/>
        </w:rPr>
        <w:t xml:space="preserve"> </w:t>
      </w:r>
      <w:proofErr w:type="spellStart"/>
      <w:r>
        <w:rPr>
          <w:i/>
          <w:iCs/>
        </w:rPr>
        <w:t>kodesh</w:t>
      </w:r>
      <w:proofErr w:type="spellEnd"/>
      <w:r>
        <w:t xml:space="preserve">, and it is improper, without a good reason, to stand with one’s back to it. However, Halacha made </w:t>
      </w:r>
      <w:r>
        <w:rPr>
          <w:i/>
          <w:iCs/>
        </w:rPr>
        <w:t>BK</w:t>
      </w:r>
      <w:r>
        <w:t xml:space="preserve">, at which the </w:t>
      </w:r>
      <w:r>
        <w:rPr>
          <w:i/>
          <w:iCs/>
        </w:rPr>
        <w:t>kohanim</w:t>
      </w:r>
      <w:r>
        <w:t xml:space="preserve"> address the congregation, an exception (see </w:t>
      </w:r>
      <w:proofErr w:type="spellStart"/>
      <w:r>
        <w:t>Sota</w:t>
      </w:r>
      <w:proofErr w:type="spellEnd"/>
      <w:r>
        <w:t xml:space="preserve"> 40a). However, the </w:t>
      </w:r>
      <w:r>
        <w:rPr>
          <w:i/>
          <w:iCs/>
        </w:rPr>
        <w:t>kohanim</w:t>
      </w:r>
      <w:r>
        <w:t xml:space="preserve"> turn to the congregation only when they need to, right before </w:t>
      </w:r>
      <w:r>
        <w:rPr>
          <w:i/>
          <w:iCs/>
        </w:rPr>
        <w:t>BK</w:t>
      </w:r>
      <w:r>
        <w:t xml:space="preserve">. The matter of timing of turning around and raising the hands is not intrinsic to </w:t>
      </w:r>
      <w:r>
        <w:rPr>
          <w:i/>
          <w:iCs/>
        </w:rPr>
        <w:t>BK</w:t>
      </w:r>
      <w:r>
        <w:t xml:space="preserve">, unlike the above matters. In fact, there is a </w:t>
      </w:r>
      <w:proofErr w:type="spellStart"/>
      <w:r>
        <w:rPr>
          <w:i/>
          <w:iCs/>
        </w:rPr>
        <w:t>machloket</w:t>
      </w:r>
      <w:proofErr w:type="spellEnd"/>
      <w:r>
        <w:t xml:space="preserve"> whether to turn around before the </w:t>
      </w:r>
      <w:proofErr w:type="spellStart"/>
      <w:r>
        <w:rPr>
          <w:i/>
          <w:iCs/>
        </w:rPr>
        <w:t>beracha</w:t>
      </w:r>
      <w:proofErr w:type="spellEnd"/>
      <w:r>
        <w:rPr>
          <w:i/>
          <w:iCs/>
        </w:rPr>
        <w:t xml:space="preserve"> </w:t>
      </w:r>
      <w:r>
        <w:t>(</w:t>
      </w:r>
      <w:r>
        <w:rPr>
          <w:i/>
          <w:iCs/>
        </w:rPr>
        <w:t xml:space="preserve">… </w:t>
      </w:r>
      <w:proofErr w:type="spellStart"/>
      <w:r>
        <w:rPr>
          <w:i/>
          <w:iCs/>
        </w:rPr>
        <w:t>asher</w:t>
      </w:r>
      <w:proofErr w:type="spellEnd"/>
      <w:r>
        <w:rPr>
          <w:i/>
          <w:iCs/>
        </w:rPr>
        <w:t xml:space="preserve"> </w:t>
      </w:r>
      <w:proofErr w:type="spellStart"/>
      <w:r>
        <w:rPr>
          <w:i/>
          <w:iCs/>
        </w:rPr>
        <w:t>kid’shanu</w:t>
      </w:r>
      <w:proofErr w:type="spellEnd"/>
      <w:r>
        <w:rPr>
          <w:i/>
          <w:iCs/>
        </w:rPr>
        <w:t xml:space="preserve"> … </w:t>
      </w:r>
      <w:proofErr w:type="spellStart"/>
      <w:r>
        <w:rPr>
          <w:i/>
          <w:iCs/>
        </w:rPr>
        <w:t>levarech</w:t>
      </w:r>
      <w:proofErr w:type="spellEnd"/>
      <w:r>
        <w:rPr>
          <w:i/>
          <w:iCs/>
        </w:rPr>
        <w:t xml:space="preserve"> …</w:t>
      </w:r>
      <w:r>
        <w:t xml:space="preserve">) or after it, and the present </w:t>
      </w:r>
      <w:r>
        <w:rPr>
          <w:i/>
          <w:iCs/>
        </w:rPr>
        <w:t>minhag</w:t>
      </w:r>
      <w:r>
        <w:t xml:space="preserve"> is to turn in the middle of the </w:t>
      </w:r>
      <w:proofErr w:type="spellStart"/>
      <w:r>
        <w:rPr>
          <w:i/>
          <w:iCs/>
        </w:rPr>
        <w:t>beracha</w:t>
      </w:r>
      <w:proofErr w:type="spellEnd"/>
      <w:r>
        <w:t xml:space="preserve"> (see </w:t>
      </w:r>
      <w:proofErr w:type="spellStart"/>
      <w:r>
        <w:t>Aruch</w:t>
      </w:r>
      <w:proofErr w:type="spellEnd"/>
      <w:r>
        <w:t xml:space="preserve"> </w:t>
      </w:r>
      <w:proofErr w:type="spellStart"/>
      <w:r>
        <w:t>Hashulchan</w:t>
      </w:r>
      <w:proofErr w:type="spellEnd"/>
      <w:r>
        <w:t xml:space="preserve">, OC 128:20). There is also a </w:t>
      </w:r>
      <w:proofErr w:type="spellStart"/>
      <w:r>
        <w:rPr>
          <w:i/>
          <w:iCs/>
        </w:rPr>
        <w:t>machloket</w:t>
      </w:r>
      <w:proofErr w:type="spellEnd"/>
      <w:r>
        <w:t xml:space="preserve"> whether to lift the hands before or after the </w:t>
      </w:r>
      <w:proofErr w:type="spellStart"/>
      <w:r>
        <w:rPr>
          <w:i/>
          <w:iCs/>
        </w:rPr>
        <w:t>beracha</w:t>
      </w:r>
      <w:proofErr w:type="spellEnd"/>
      <w:r>
        <w:t xml:space="preserve"> (see opinions in </w:t>
      </w:r>
      <w:proofErr w:type="spellStart"/>
      <w:r>
        <w:t>Va’ani</w:t>
      </w:r>
      <w:proofErr w:type="spellEnd"/>
      <w:r>
        <w:t xml:space="preserve"> </w:t>
      </w:r>
      <w:proofErr w:type="spellStart"/>
      <w:r>
        <w:t>Avarchem</w:t>
      </w:r>
      <w:proofErr w:type="spellEnd"/>
      <w:r>
        <w:t xml:space="preserve"> 19:2). </w:t>
      </w:r>
    </w:p>
    <w:p w14:paraId="20674F37" w14:textId="77777777" w:rsidR="002F0DC2" w:rsidRDefault="002F0DC2" w:rsidP="002F0DC2">
      <w:pPr>
        <w:bidi w:val="0"/>
        <w:ind w:firstLine="450"/>
      </w:pPr>
      <w:r>
        <w:t xml:space="preserve">Given the fact that these questions of timing are just a matter of </w:t>
      </w:r>
      <w:r>
        <w:rPr>
          <w:i/>
          <w:iCs/>
        </w:rPr>
        <w:t>minhag</w:t>
      </w:r>
      <w:r>
        <w:t xml:space="preserve">, in your situation you can do what is physically best for you (you do not need to worry that other </w:t>
      </w:r>
      <w:r>
        <w:rPr>
          <w:i/>
          <w:iCs/>
        </w:rPr>
        <w:t>kohanim</w:t>
      </w:r>
      <w:r>
        <w:t xml:space="preserve"> will resent your acting differently). Specifically, you can turn with everyone else, but holding your cane, and not raise your hands until you finish turning around and making the </w:t>
      </w:r>
      <w:proofErr w:type="spellStart"/>
      <w:r>
        <w:rPr>
          <w:i/>
          <w:iCs/>
        </w:rPr>
        <w:t>beracha</w:t>
      </w:r>
      <w:proofErr w:type="spellEnd"/>
      <w:r>
        <w:t xml:space="preserve">. You can also turn, with the cane and at more leisure, before the </w:t>
      </w:r>
      <w:proofErr w:type="spellStart"/>
      <w:r>
        <w:rPr>
          <w:i/>
          <w:iCs/>
        </w:rPr>
        <w:t>beracha</w:t>
      </w:r>
      <w:proofErr w:type="spellEnd"/>
      <w:r>
        <w:t xml:space="preserve">, and then put down the cane and raise your hands sometime before the </w:t>
      </w:r>
      <w:r>
        <w:rPr>
          <w:i/>
          <w:iCs/>
        </w:rPr>
        <w:t>BK</w:t>
      </w:r>
      <w:r>
        <w:t xml:space="preserve"> itself.</w:t>
      </w:r>
    </w:p>
    <w:p w14:paraId="3656C14E" w14:textId="77777777" w:rsidR="002F0DC2" w:rsidRPr="00567737" w:rsidRDefault="002F0DC2" w:rsidP="002F0DC2">
      <w:pPr>
        <w:bidi w:val="0"/>
        <w:ind w:firstLine="450"/>
      </w:pPr>
      <w:r>
        <w:t xml:space="preserve">In summary, you can appraise whether you can stand well enough at the critical times and figure out how to use legitimate corner cutters. You must make sure you are not endangering yourself concerning a dangerous fall. The wall may be a good solution, but something like a heavy </w:t>
      </w:r>
      <w:proofErr w:type="spellStart"/>
      <w:r>
        <w:rPr>
          <w:i/>
          <w:iCs/>
        </w:rPr>
        <w:t>shtender</w:t>
      </w:r>
      <w:proofErr w:type="spellEnd"/>
      <w:r>
        <w:t xml:space="preserve"> </w:t>
      </w:r>
      <w:r w:rsidRPr="00567737">
        <w:rPr>
          <w:b/>
          <w:bCs/>
        </w:rPr>
        <w:t>in front of you</w:t>
      </w:r>
      <w:r>
        <w:t xml:space="preserve"> may be more effective and safer. Do not be embarrassed to ask for help to set things up best. Your lifetime of past and future </w:t>
      </w:r>
      <w:proofErr w:type="spellStart"/>
      <w:r>
        <w:rPr>
          <w:i/>
          <w:iCs/>
        </w:rPr>
        <w:t>berachot</w:t>
      </w:r>
      <w:proofErr w:type="spellEnd"/>
      <w:r>
        <w:t xml:space="preserve"> gives you rights!</w:t>
      </w:r>
    </w:p>
    <w:p w14:paraId="21CED562" w14:textId="16DCCF52" w:rsidR="008130DB" w:rsidRDefault="008130DB" w:rsidP="0016731C">
      <w:pPr>
        <w:bidi w:val="0"/>
        <w:ind w:firstLine="450"/>
      </w:pPr>
    </w:p>
    <w:p w14:paraId="300A318A" w14:textId="77777777" w:rsidR="008130DB" w:rsidRPr="00952272" w:rsidRDefault="008130DB" w:rsidP="008130DB">
      <w:pPr>
        <w:bidi w:val="0"/>
        <w:ind w:firstLine="450"/>
        <w:jc w:val="both"/>
        <w:rPr>
          <w:rtl/>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595EAE"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76B81BFE" w14:textId="0EECAAA6" w:rsidR="00FD6AA2" w:rsidRDefault="00FD6AA2" w:rsidP="00FD6AA2">
      <w:pPr>
        <w:jc w:val="center"/>
        <w:rPr>
          <w:b/>
          <w:bCs/>
          <w:color w:val="002060"/>
          <w:sz w:val="28"/>
          <w:szCs w:val="28"/>
        </w:rPr>
      </w:pPr>
      <w:r w:rsidRPr="00285DD9">
        <w:rPr>
          <w:b/>
          <w:bCs/>
          <w:color w:val="002060"/>
          <w:sz w:val="28"/>
          <w:szCs w:val="28"/>
        </w:rPr>
        <w:t xml:space="preserve">Inability to </w:t>
      </w:r>
      <w:r>
        <w:rPr>
          <w:b/>
          <w:bCs/>
          <w:color w:val="002060"/>
          <w:sz w:val="28"/>
          <w:szCs w:val="28"/>
        </w:rPr>
        <w:t>P</w:t>
      </w:r>
      <w:r w:rsidRPr="00285DD9">
        <w:rPr>
          <w:b/>
          <w:bCs/>
          <w:color w:val="002060"/>
          <w:sz w:val="28"/>
          <w:szCs w:val="28"/>
        </w:rPr>
        <w:t xml:space="preserve">ass </w:t>
      </w:r>
      <w:r>
        <w:rPr>
          <w:b/>
          <w:bCs/>
          <w:color w:val="002060"/>
          <w:sz w:val="28"/>
          <w:szCs w:val="28"/>
        </w:rPr>
        <w:t>o</w:t>
      </w:r>
      <w:r w:rsidRPr="00285DD9">
        <w:rPr>
          <w:b/>
          <w:bCs/>
          <w:color w:val="002060"/>
          <w:sz w:val="28"/>
          <w:szCs w:val="28"/>
        </w:rPr>
        <w:t xml:space="preserve">n </w:t>
      </w:r>
      <w:r>
        <w:rPr>
          <w:b/>
          <w:bCs/>
          <w:color w:val="002060"/>
          <w:sz w:val="28"/>
          <w:szCs w:val="28"/>
        </w:rPr>
        <w:t>A</w:t>
      </w:r>
      <w:r w:rsidRPr="00285DD9">
        <w:rPr>
          <w:b/>
          <w:bCs/>
          <w:color w:val="002060"/>
          <w:sz w:val="28"/>
          <w:szCs w:val="28"/>
        </w:rPr>
        <w:t xml:space="preserve">bandoned </w:t>
      </w:r>
      <w:r>
        <w:rPr>
          <w:b/>
          <w:bCs/>
          <w:color w:val="002060"/>
          <w:sz w:val="28"/>
          <w:szCs w:val="28"/>
        </w:rPr>
        <w:t>T</w:t>
      </w:r>
      <w:r w:rsidRPr="00285DD9">
        <w:rPr>
          <w:b/>
          <w:bCs/>
          <w:color w:val="002060"/>
          <w:sz w:val="28"/>
          <w:szCs w:val="28"/>
        </w:rPr>
        <w:t>radition</w:t>
      </w:r>
      <w:r>
        <w:rPr>
          <w:b/>
          <w:bCs/>
          <w:color w:val="002060"/>
          <w:sz w:val="28"/>
          <w:szCs w:val="28"/>
        </w:rPr>
        <w:t xml:space="preserve"> – part I</w:t>
      </w:r>
      <w:r w:rsidR="00943F89">
        <w:rPr>
          <w:b/>
          <w:bCs/>
          <w:color w:val="002060"/>
          <w:sz w:val="28"/>
          <w:szCs w:val="28"/>
        </w:rPr>
        <w:t>I</w:t>
      </w:r>
    </w:p>
    <w:p w14:paraId="1016D224" w14:textId="77777777" w:rsidR="00FD6AA2" w:rsidRPr="00B711A4" w:rsidRDefault="00FD6AA2" w:rsidP="00FD6AA2">
      <w:pPr>
        <w:jc w:val="center"/>
        <w:rPr>
          <w:color w:val="002060"/>
        </w:rP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733 (1937)</w:t>
      </w:r>
    </w:p>
    <w:p w14:paraId="56887416" w14:textId="77777777" w:rsidR="00FD6AA2" w:rsidRDefault="00FD6AA2" w:rsidP="00FD6AA2">
      <w:pPr>
        <w:ind w:firstLine="360"/>
      </w:pPr>
    </w:p>
    <w:p w14:paraId="61D78369" w14:textId="77777777" w:rsidR="00943F89" w:rsidRPr="00F03D2E" w:rsidRDefault="00943F89" w:rsidP="00595EAE">
      <w:pPr>
        <w:bidi w:val="0"/>
        <w:spacing w:line="276" w:lineRule="auto"/>
        <w:ind w:firstLine="360"/>
      </w:pPr>
      <w:r>
        <w:t>[</w:t>
      </w:r>
      <w:r>
        <w:rPr>
          <w:i/>
          <w:iCs/>
        </w:rPr>
        <w:t xml:space="preserve">Last time, we saw Rav </w:t>
      </w:r>
      <w:proofErr w:type="spellStart"/>
      <w:r>
        <w:rPr>
          <w:i/>
          <w:iCs/>
        </w:rPr>
        <w:t>Yisraeli’s</w:t>
      </w:r>
      <w:proofErr w:type="spellEnd"/>
      <w:r>
        <w:rPr>
          <w:i/>
          <w:iCs/>
        </w:rPr>
        <w:t xml:space="preserve"> principle that idealistic values can stem from previous generations and, if not connected to Torah, can “burn out” before the next generation.</w:t>
      </w:r>
      <w:r>
        <w:t>]</w:t>
      </w:r>
    </w:p>
    <w:p w14:paraId="23D93A66" w14:textId="77777777" w:rsidR="00943F89" w:rsidRDefault="00943F89" w:rsidP="00595EAE">
      <w:pPr>
        <w:bidi w:val="0"/>
        <w:spacing w:line="276" w:lineRule="auto"/>
        <w:ind w:firstLine="360"/>
      </w:pPr>
      <w:r>
        <w:t xml:space="preserve">If we see an unusually large flame, in a place where we are used to a normal, stable flame, we should assume that it is not good, but that it is a sign of catastrophe. There must have been an eruption – perhaps a storehouse of petrol caught fire. The great flame is a sign that in a relatively short time, there will be nothing left. </w:t>
      </w:r>
    </w:p>
    <w:p w14:paraId="5FA21A11" w14:textId="77777777" w:rsidR="00943F89" w:rsidRDefault="00943F89" w:rsidP="00595EAE">
      <w:pPr>
        <w:bidi w:val="0"/>
        <w:spacing w:line="276" w:lineRule="auto"/>
        <w:ind w:firstLine="360"/>
      </w:pPr>
      <w:r>
        <w:t>It is easy to waste resources that one did not toil to attain. It is pleasant to appear to be generous, on the account of others, but such a situation cannot last for long. A treasure house, even the richest one, must dwindle if there is no flow of new resources to replenish it and provide sustenance. There is a reason, of course, that pioneer spirit appears headed toward disappearing from the world. There is a reason that the writer who writes about a pioneer has to go back to heroes of the past, as we are running out of such people – the store house is diminishing.</w:t>
      </w:r>
    </w:p>
    <w:p w14:paraId="68CEF529" w14:textId="77777777" w:rsidR="00943F89" w:rsidRDefault="00943F89" w:rsidP="00595EAE">
      <w:pPr>
        <w:bidi w:val="0"/>
        <w:spacing w:line="276" w:lineRule="auto"/>
        <w:ind w:firstLine="360"/>
      </w:pPr>
      <w:proofErr w:type="gramStart"/>
      <w:r>
        <w:t>The ”worship</w:t>
      </w:r>
      <w:proofErr w:type="gramEnd"/>
      <w:r>
        <w:t xml:space="preserve">” of the land and of physical work stems from the same pure simplicity with which the worshipper’s father would be excited when he prayed, “Because of our sins we were exiled from our Land.” Ignoring one’s personal welfare and finding one’s essence in nullifying himself and embracing the life of the community occur because one of his forebears once left his wife, children, and possessions to travel to his spiritual mentor to “collect crumbs of clinging to Hashem.” When one becomes ecstatic when dancing the Hora to the point of forgetting his senses, this stems from the forebear’s excitement when dancing at </w:t>
      </w:r>
      <w:r w:rsidRPr="00812E33">
        <w:rPr>
          <w:i/>
          <w:iCs/>
        </w:rPr>
        <w:t>Kiddush Levana</w:t>
      </w:r>
      <w:r>
        <w:t>, from the joy of</w:t>
      </w:r>
      <w:r>
        <w:rPr>
          <w:i/>
          <w:iCs/>
        </w:rPr>
        <w:t xml:space="preserve"> </w:t>
      </w:r>
      <w:r>
        <w:t xml:space="preserve">Simchat Torah, and from the delight in the rest-day of Shabbat. The modern contentment with justice and a life of honesty is an echo of the forebear’s prayers for a better world. </w:t>
      </w:r>
    </w:p>
    <w:p w14:paraId="66A010D1" w14:textId="77777777" w:rsidR="00943F89" w:rsidRDefault="00943F89" w:rsidP="00595EAE">
      <w:pPr>
        <w:bidi w:val="0"/>
        <w:spacing w:line="276" w:lineRule="auto"/>
        <w:ind w:firstLine="360"/>
      </w:pPr>
      <w:r>
        <w:t xml:space="preserve">As long as the sublime feeling is still bubbling somewhere in the depths of the soul, such as when one remembers a </w:t>
      </w:r>
      <w:r>
        <w:rPr>
          <w:i/>
          <w:iCs/>
        </w:rPr>
        <w:t>Seder</w:t>
      </w:r>
      <w:r>
        <w:t xml:space="preserve"> night with his father, or his grandfather’s crying during </w:t>
      </w:r>
      <w:r>
        <w:rPr>
          <w:i/>
          <w:iCs/>
        </w:rPr>
        <w:t xml:space="preserve">Tikkun </w:t>
      </w:r>
      <w:proofErr w:type="spellStart"/>
      <w:r>
        <w:rPr>
          <w:i/>
          <w:iCs/>
        </w:rPr>
        <w:t>Chatzot</w:t>
      </w:r>
      <w:proofErr w:type="spellEnd"/>
      <w:r>
        <w:rPr>
          <w:i/>
          <w:iCs/>
        </w:rPr>
        <w:t xml:space="preserve"> </w:t>
      </w:r>
      <w:r>
        <w:t>(prayer for the rebuilding of the Temple), or the holy atmosphere during the High Holy Days, or the joy of satisfaction on Sukkot, he can and will find excitement in that which replaces these memories in his present life.</w:t>
      </w:r>
      <w:r>
        <w:rPr>
          <w:rFonts w:hint="cs"/>
          <w:rtl/>
        </w:rPr>
        <w:t xml:space="preserve"> </w:t>
      </w:r>
      <w:r>
        <w:t xml:space="preserve"> He “builds his gods” in the likeness of the service of Hashem that he lost. However, slowly, the memories fade. The purposeless festivities and dancing cannot create within him new strength. The chicken coup cannot take the place of the Temple and the reins of the plough cannot take the place of the straps of </w:t>
      </w:r>
      <w:r>
        <w:rPr>
          <w:i/>
          <w:iCs/>
        </w:rPr>
        <w:t>tefillin</w:t>
      </w:r>
      <w:r>
        <w:t xml:space="preserve">. The illusion must by force evaporate. If it will not occur to the first-generation pioneer, it will happen to his son. The son is born without knowledge, never experienced a </w:t>
      </w:r>
      <w:r>
        <w:rPr>
          <w:i/>
          <w:iCs/>
        </w:rPr>
        <w:t xml:space="preserve">Seder </w:t>
      </w:r>
      <w:r>
        <w:t xml:space="preserve">night, never got up for </w:t>
      </w:r>
      <w:proofErr w:type="spellStart"/>
      <w:r>
        <w:rPr>
          <w:i/>
          <w:iCs/>
        </w:rPr>
        <w:t>Selichot</w:t>
      </w:r>
      <w:proofErr w:type="spellEnd"/>
      <w:r>
        <w:t xml:space="preserve">, and never trembled in anticipation of shofar blowing. He cannot reach back and have the ability to make new gods, because he does not feel a need for them, for he did not lose a connection to Hashem. </w:t>
      </w:r>
    </w:p>
    <w:p w14:paraId="25B2037C" w14:textId="77777777" w:rsidR="00943F89" w:rsidRPr="006E7871" w:rsidRDefault="00943F89" w:rsidP="00595EAE">
      <w:pPr>
        <w:bidi w:val="0"/>
        <w:spacing w:line="276" w:lineRule="auto"/>
        <w:ind w:firstLine="360"/>
      </w:pPr>
      <w:r>
        <w:t>There is great disappointment among the previous generation’s intellectuals, as they are shocked by the emptiness of the new generation. A generation has arisen that does not find interest in a simple reading book. To them, football is as important as morning and evening prayers; it is a generation without yearnings, desire, or aspirations. They should just see the fruit of their leaving the Book of Books, which they disgraced in their interest in trying to build everything from anew, based on their foundations.</w:t>
      </w:r>
    </w:p>
    <w:p w14:paraId="407088AA" w14:textId="3837A7AB" w:rsidR="00FD6AA2" w:rsidRDefault="00FD6AA2" w:rsidP="00FD6AA2">
      <w:pPr>
        <w:bidi w:val="0"/>
        <w:spacing w:line="276" w:lineRule="auto"/>
        <w:ind w:firstLine="360"/>
      </w:pPr>
    </w:p>
    <w:p w14:paraId="4A2810A7" w14:textId="7E13C615" w:rsidR="00FD6AA2" w:rsidRDefault="00FD6AA2" w:rsidP="00FD6AA2">
      <w:pPr>
        <w:bidi w:val="0"/>
        <w:spacing w:line="276" w:lineRule="auto"/>
        <w:ind w:firstLine="360"/>
      </w:pPr>
    </w:p>
    <w:p w14:paraId="48BB3FA1" w14:textId="77777777" w:rsidR="00FD6AA2" w:rsidRDefault="00FD6AA2" w:rsidP="00FD6AA2">
      <w:pPr>
        <w:bidi w:val="0"/>
        <w:spacing w:line="276" w:lineRule="auto"/>
        <w:ind w:firstLine="360"/>
        <w:rPr>
          <w:rtl/>
        </w:rPr>
      </w:pPr>
    </w:p>
    <w:p w14:paraId="4E10058E" w14:textId="77777777" w:rsidR="00997CA0" w:rsidRDefault="00997CA0" w:rsidP="00997CA0">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64BA4ABB" w14:textId="19997E7F" w:rsidR="003E32F5" w:rsidRDefault="003E32F5" w:rsidP="003E32F5">
      <w:pPr>
        <w:bidi w:val="0"/>
        <w:ind w:firstLine="360"/>
      </w:pPr>
    </w:p>
    <w:p w14:paraId="4D9344BA" w14:textId="5E45B5A9" w:rsidR="00CB5AD2" w:rsidRDefault="00997CA0" w:rsidP="00997CA0">
      <w:pPr>
        <w:bidi w:val="0"/>
        <w:ind w:firstLine="360"/>
        <w:rPr>
          <w:i/>
          <w:iCs/>
          <w:color w:val="D85640"/>
        </w:rPr>
      </w:pPr>
      <w:r>
        <w:rPr>
          <w:noProof/>
        </w:rPr>
        <w:lastRenderedPageBreak/>
        <w:drawing>
          <wp:anchor distT="0" distB="0" distL="114300" distR="114300" simplePos="0" relativeHeight="251657728" behindDoc="1" locked="0" layoutInCell="1" allowOverlap="1" wp14:anchorId="5562C0F0" wp14:editId="28D60642">
            <wp:simplePos x="0" y="0"/>
            <wp:positionH relativeFrom="margin">
              <wp:posOffset>-635</wp:posOffset>
            </wp:positionH>
            <wp:positionV relativeFrom="paragraph">
              <wp:posOffset>-591820</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FF9807" w14:textId="1227A0AE" w:rsidR="00FD6AA2" w:rsidRPr="00943F89" w:rsidRDefault="00943F89" w:rsidP="00595EAE">
      <w:pPr>
        <w:pStyle w:val="Heading2"/>
        <w:bidi w:val="0"/>
        <w:spacing w:line="276" w:lineRule="auto"/>
        <w:rPr>
          <w:sz w:val="22"/>
          <w:szCs w:val="18"/>
        </w:rPr>
      </w:pPr>
      <w:r w:rsidRPr="00943F89">
        <w:rPr>
          <w:i w:val="0"/>
          <w:iCs w:val="0"/>
          <w:color w:val="D85640"/>
        </w:rPr>
        <w:t>A Seller with Questionable Rights to the Property – part I</w:t>
      </w:r>
      <w:r w:rsidR="00FD6AA2">
        <w:rPr>
          <w:sz w:val="20"/>
        </w:rPr>
        <w:br/>
      </w:r>
      <w:r w:rsidRPr="00943F89">
        <w:rPr>
          <w:b w:val="0"/>
          <w:bCs w:val="0"/>
          <w:i w:val="0"/>
          <w:iCs w:val="0"/>
          <w:sz w:val="20"/>
        </w:rPr>
        <w:t>(based on ruling 84062 of the Eretz Hemdah-</w:t>
      </w:r>
      <w:proofErr w:type="spellStart"/>
      <w:r w:rsidRPr="00943F89">
        <w:rPr>
          <w:b w:val="0"/>
          <w:bCs w:val="0"/>
          <w:i w:val="0"/>
          <w:iCs w:val="0"/>
          <w:sz w:val="20"/>
        </w:rPr>
        <w:t>Gazit</w:t>
      </w:r>
      <w:proofErr w:type="spellEnd"/>
      <w:r w:rsidRPr="00943F89">
        <w:rPr>
          <w:b w:val="0"/>
          <w:bCs w:val="0"/>
          <w:i w:val="0"/>
          <w:iCs w:val="0"/>
          <w:sz w:val="20"/>
        </w:rPr>
        <w:t xml:space="preserve"> Rabbinical Courts)</w:t>
      </w:r>
    </w:p>
    <w:p w14:paraId="277829FF" w14:textId="77777777" w:rsidR="00FD6AA2" w:rsidRPr="006C633B" w:rsidRDefault="00FD6AA2" w:rsidP="00595EAE">
      <w:pPr>
        <w:bidi w:val="0"/>
        <w:spacing w:line="276" w:lineRule="auto"/>
        <w:rPr>
          <w:sz w:val="24"/>
        </w:rPr>
      </w:pPr>
    </w:p>
    <w:p w14:paraId="7E9FA704" w14:textId="77777777" w:rsidR="00943F89" w:rsidRPr="009A24F2" w:rsidRDefault="00943F89" w:rsidP="00595EAE">
      <w:pPr>
        <w:bidi w:val="0"/>
        <w:spacing w:line="276" w:lineRule="auto"/>
      </w:pPr>
      <w:r w:rsidRPr="0024039C">
        <w:rPr>
          <w:b/>
          <w:bCs/>
          <w:color w:val="D85640"/>
          <w:sz w:val="24"/>
          <w:u w:val="single"/>
        </w:rPr>
        <w:t>Case</w:t>
      </w:r>
      <w:r w:rsidRPr="0024039C">
        <w:rPr>
          <w:b/>
          <w:bCs/>
          <w:color w:val="D85640"/>
          <w:sz w:val="24"/>
        </w:rPr>
        <w:t>:</w:t>
      </w:r>
      <w:r>
        <w:t xml:space="preserve"> Multiple plaintiffs (=</w:t>
      </w:r>
      <w:r>
        <w:rPr>
          <w:i/>
          <w:iCs/>
        </w:rPr>
        <w:t>pl</w:t>
      </w:r>
      <w:r>
        <w:t>), each paying different amounts, bought land from a company (=</w:t>
      </w:r>
      <w:r>
        <w:rPr>
          <w:i/>
          <w:iCs/>
        </w:rPr>
        <w:t>def1</w:t>
      </w:r>
      <w:r>
        <w:t>),</w:t>
      </w:r>
      <w:r w:rsidRPr="00EF6A8C">
        <w:t xml:space="preserve"> </w:t>
      </w:r>
      <w:r>
        <w:t xml:space="preserve">owned by </w:t>
      </w:r>
      <w:r>
        <w:rPr>
          <w:i/>
          <w:iCs/>
        </w:rPr>
        <w:t>def2</w:t>
      </w:r>
      <w:r>
        <w:t>,</w:t>
      </w:r>
      <w:r>
        <w:rPr>
          <w:i/>
          <w:iCs/>
        </w:rPr>
        <w:t xml:space="preserve"> </w:t>
      </w:r>
      <w:r>
        <w:t xml:space="preserve">dealing with land sold by Arabs, in the periphery of a </w:t>
      </w:r>
      <w:proofErr w:type="spellStart"/>
      <w:r>
        <w:rPr>
          <w:i/>
          <w:iCs/>
        </w:rPr>
        <w:t>yishuv</w:t>
      </w:r>
      <w:proofErr w:type="spellEnd"/>
      <w:r>
        <w:t xml:space="preserve">. </w:t>
      </w:r>
      <w:r>
        <w:rPr>
          <w:i/>
          <w:iCs/>
        </w:rPr>
        <w:t>Def1</w:t>
      </w:r>
      <w:r>
        <w:t xml:space="preserve"> was also supposed to handle the registration of the property in </w:t>
      </w:r>
      <w:r>
        <w:rPr>
          <w:i/>
          <w:iCs/>
        </w:rPr>
        <w:t>pl</w:t>
      </w:r>
      <w:r>
        <w:t xml:space="preserve">’s names. Years went by without the deal being completed, so </w:t>
      </w:r>
      <w:r>
        <w:rPr>
          <w:i/>
          <w:iCs/>
        </w:rPr>
        <w:t>pl</w:t>
      </w:r>
      <w:r>
        <w:t xml:space="preserve"> demanded their payment back according to par 5.6 of their </w:t>
      </w:r>
      <w:proofErr w:type="gramStart"/>
      <w:r>
        <w:t>contract</w:t>
      </w:r>
      <w:proofErr w:type="gramEnd"/>
      <w:r>
        <w:t xml:space="preserve">. Although a different document states that </w:t>
      </w:r>
      <w:r>
        <w:rPr>
          <w:i/>
          <w:iCs/>
        </w:rPr>
        <w:t>pl</w:t>
      </w:r>
      <w:r>
        <w:t xml:space="preserve"> cannot get their money back, it was never signed, and the signed one says that it supersedes other agreements. </w:t>
      </w:r>
      <w:r>
        <w:rPr>
          <w:i/>
          <w:iCs/>
        </w:rPr>
        <w:t xml:space="preserve">Pl </w:t>
      </w:r>
      <w:r>
        <w:t xml:space="preserve">claims that </w:t>
      </w:r>
      <w:r>
        <w:rPr>
          <w:i/>
          <w:iCs/>
        </w:rPr>
        <w:t>def</w:t>
      </w:r>
      <w:r>
        <w:t xml:space="preserve"> violated their agreement by not advancing it over years. More fundamentally, the sale should be void because </w:t>
      </w:r>
      <w:r>
        <w:rPr>
          <w:i/>
          <w:iCs/>
        </w:rPr>
        <w:t xml:space="preserve">pl </w:t>
      </w:r>
      <w:r>
        <w:t xml:space="preserve">was misinformed, as </w:t>
      </w:r>
      <w:r>
        <w:rPr>
          <w:i/>
          <w:iCs/>
        </w:rPr>
        <w:t>def</w:t>
      </w:r>
      <w:r>
        <w:t xml:space="preserve"> has not provided any proof they own the property they purported to sell. </w:t>
      </w:r>
      <w:r>
        <w:rPr>
          <w:i/>
          <w:iCs/>
        </w:rPr>
        <w:t>Def1</w:t>
      </w:r>
      <w:r>
        <w:t xml:space="preserve"> claims they have 25% holdings in the company (=</w:t>
      </w:r>
      <w:r>
        <w:rPr>
          <w:i/>
          <w:iCs/>
        </w:rPr>
        <w:t>comp2</w:t>
      </w:r>
      <w:r>
        <w:t>)</w:t>
      </w:r>
      <w:r>
        <w:rPr>
          <w:i/>
          <w:iCs/>
        </w:rPr>
        <w:t xml:space="preserve"> </w:t>
      </w:r>
      <w:r>
        <w:t xml:space="preserve">that arguably has rights to the property (the subject of court cases), but there is no record of </w:t>
      </w:r>
      <w:r>
        <w:rPr>
          <w:i/>
          <w:iCs/>
        </w:rPr>
        <w:t>def1</w:t>
      </w:r>
      <w:r w:rsidRPr="007F1BFA">
        <w:t>’s</w:t>
      </w:r>
      <w:r>
        <w:rPr>
          <w:i/>
          <w:iCs/>
        </w:rPr>
        <w:t xml:space="preserve"> </w:t>
      </w:r>
      <w:r>
        <w:t xml:space="preserve">portion in </w:t>
      </w:r>
      <w:r>
        <w:rPr>
          <w:i/>
          <w:iCs/>
        </w:rPr>
        <w:t>comp2</w:t>
      </w:r>
      <w:r>
        <w:t xml:space="preserve">, which makes it a very suspicious claim. </w:t>
      </w:r>
      <w:r>
        <w:rPr>
          <w:i/>
          <w:iCs/>
        </w:rPr>
        <w:t>Def1</w:t>
      </w:r>
      <w:r>
        <w:t xml:space="preserve"> responds that he is very close with </w:t>
      </w:r>
      <w:r>
        <w:rPr>
          <w:i/>
          <w:iCs/>
        </w:rPr>
        <w:t>comp2</w:t>
      </w:r>
      <w:r>
        <w:t xml:space="preserve">’s owner, so there is no need for official records of his rights. </w:t>
      </w:r>
      <w:r>
        <w:rPr>
          <w:rFonts w:hint="cs"/>
          <w:i/>
          <w:iCs/>
        </w:rPr>
        <w:t>P</w:t>
      </w:r>
      <w:r>
        <w:rPr>
          <w:i/>
          <w:iCs/>
        </w:rPr>
        <w:t xml:space="preserve">l </w:t>
      </w:r>
      <w:r>
        <w:t xml:space="preserve">also claim that even </w:t>
      </w:r>
      <w:r>
        <w:rPr>
          <w:i/>
          <w:iCs/>
        </w:rPr>
        <w:t>comp2</w:t>
      </w:r>
      <w:r>
        <w:t xml:space="preserve">’s rights seem out-of-line with what </w:t>
      </w:r>
      <w:r>
        <w:rPr>
          <w:i/>
          <w:iCs/>
        </w:rPr>
        <w:t>def2</w:t>
      </w:r>
      <w:r>
        <w:t xml:space="preserve"> assured </w:t>
      </w:r>
      <w:r>
        <w:rPr>
          <w:i/>
          <w:iCs/>
        </w:rPr>
        <w:t>pl</w:t>
      </w:r>
      <w:r>
        <w:t xml:space="preserve">. </w:t>
      </w:r>
      <w:r>
        <w:rPr>
          <w:i/>
          <w:iCs/>
        </w:rPr>
        <w:t xml:space="preserve">Def1 </w:t>
      </w:r>
      <w:r>
        <w:t xml:space="preserve">counters that the nature of their operation is to deal with complex legal cases, as </w:t>
      </w:r>
      <w:r>
        <w:rPr>
          <w:i/>
          <w:iCs/>
        </w:rPr>
        <w:t xml:space="preserve">pl </w:t>
      </w:r>
      <w:r>
        <w:t>knew, and they should have done as much research as they wanted. [</w:t>
      </w:r>
      <w:r>
        <w:rPr>
          <w:i/>
          <w:iCs/>
        </w:rPr>
        <w:t>We will discuss other elements of the dispute in future weeks.</w:t>
      </w:r>
      <w:r>
        <w:t>]</w:t>
      </w:r>
    </w:p>
    <w:p w14:paraId="4DD7404F" w14:textId="77777777" w:rsidR="00943F89" w:rsidRPr="00561B28" w:rsidRDefault="00943F89" w:rsidP="00595EAE">
      <w:pPr>
        <w:bidi w:val="0"/>
        <w:spacing w:line="276" w:lineRule="auto"/>
        <w:rPr>
          <w:sz w:val="22"/>
          <w:szCs w:val="22"/>
        </w:rPr>
      </w:pPr>
      <w:r>
        <w:t xml:space="preserve">  </w:t>
      </w:r>
    </w:p>
    <w:p w14:paraId="55CAFA47" w14:textId="77777777" w:rsidR="00943F89" w:rsidRDefault="00943F89" w:rsidP="00595EAE">
      <w:pPr>
        <w:bidi w:val="0"/>
        <w:spacing w:line="276" w:lineRule="auto"/>
      </w:pPr>
      <w:r w:rsidRPr="0024039C">
        <w:rPr>
          <w:b/>
          <w:bCs/>
          <w:color w:val="D85640"/>
          <w:sz w:val="24"/>
          <w:szCs w:val="24"/>
          <w:u w:val="single"/>
        </w:rPr>
        <w:t>Ruling</w:t>
      </w:r>
      <w:r w:rsidRPr="0024039C">
        <w:rPr>
          <w:b/>
          <w:bCs/>
          <w:color w:val="D85640"/>
          <w:sz w:val="24"/>
          <w:szCs w:val="24"/>
        </w:rPr>
        <w:t>:</w:t>
      </w:r>
      <w:r w:rsidRPr="00942E24">
        <w:t xml:space="preserve"> </w:t>
      </w:r>
      <w:r>
        <w:t xml:space="preserve">Since the document that the sides signed states that all other agreements are void, even </w:t>
      </w:r>
      <w:r w:rsidRPr="003259D8">
        <w:rPr>
          <w:b/>
          <w:bCs/>
        </w:rPr>
        <w:t>if</w:t>
      </w:r>
      <w:r>
        <w:t xml:space="preserve"> the unsigned one could have been relevant, it is not consequential. Actually, though, even the clause in the unsigned document only absolves </w:t>
      </w:r>
      <w:r>
        <w:rPr>
          <w:i/>
          <w:iCs/>
        </w:rPr>
        <w:t>def</w:t>
      </w:r>
      <w:r>
        <w:t xml:space="preserve"> from payment if they try and do not succeed to sell their rights to a third party. </w:t>
      </w:r>
    </w:p>
    <w:p w14:paraId="66F05EFE" w14:textId="77777777" w:rsidR="00943F89" w:rsidRDefault="00943F89" w:rsidP="00595EAE">
      <w:pPr>
        <w:bidi w:val="0"/>
        <w:spacing w:line="276" w:lineRule="auto"/>
        <w:ind w:firstLine="450"/>
      </w:pPr>
      <w:r>
        <w:t xml:space="preserve">Regarding grounds for a refund, the fact that </w:t>
      </w:r>
      <w:r>
        <w:rPr>
          <w:i/>
          <w:iCs/>
        </w:rPr>
        <w:t xml:space="preserve">def1 </w:t>
      </w:r>
      <w:r w:rsidRPr="00624BC4">
        <w:t>ha</w:t>
      </w:r>
      <w:r>
        <w:t xml:space="preserve">s not succeeded in years to transfer ownership to </w:t>
      </w:r>
      <w:r>
        <w:rPr>
          <w:i/>
          <w:iCs/>
        </w:rPr>
        <w:t>pl</w:t>
      </w:r>
      <w:r>
        <w:t xml:space="preserve"> is not grounds for breach of contract. The nature of this niche of property acquisition in Yehuda and Shomron is arduous and speculative, and </w:t>
      </w:r>
      <w:r>
        <w:rPr>
          <w:i/>
          <w:iCs/>
        </w:rPr>
        <w:t>pl</w:t>
      </w:r>
      <w:r>
        <w:t xml:space="preserve"> did not prove that </w:t>
      </w:r>
      <w:r>
        <w:rPr>
          <w:i/>
          <w:iCs/>
        </w:rPr>
        <w:t>def1</w:t>
      </w:r>
      <w:r>
        <w:t xml:space="preserve"> did not go about it seriously. Regarding </w:t>
      </w:r>
      <w:r>
        <w:rPr>
          <w:i/>
          <w:iCs/>
        </w:rPr>
        <w:t>comp2</w:t>
      </w:r>
      <w:r>
        <w:t xml:space="preserve">’s rights to the land, it is true that </w:t>
      </w:r>
      <w:r>
        <w:rPr>
          <w:i/>
          <w:iCs/>
        </w:rPr>
        <w:t>def</w:t>
      </w:r>
      <w:r>
        <w:t xml:space="preserve"> was unable to provide strong evidence, but they did provide some indications, and it is possible that according to Jordanian law, which applies here, it may suffice. Therefore, </w:t>
      </w:r>
      <w:r>
        <w:rPr>
          <w:i/>
          <w:iCs/>
        </w:rPr>
        <w:t xml:space="preserve">pl </w:t>
      </w:r>
      <w:r>
        <w:t xml:space="preserve">has not proven a </w:t>
      </w:r>
      <w:proofErr w:type="spellStart"/>
      <w:r>
        <w:rPr>
          <w:i/>
          <w:iCs/>
        </w:rPr>
        <w:t>mekach</w:t>
      </w:r>
      <w:proofErr w:type="spellEnd"/>
      <w:r>
        <w:rPr>
          <w:i/>
          <w:iCs/>
        </w:rPr>
        <w:t xml:space="preserve"> </w:t>
      </w:r>
      <w:proofErr w:type="spellStart"/>
      <w:r>
        <w:rPr>
          <w:i/>
          <w:iCs/>
        </w:rPr>
        <w:t>ta’ut</w:t>
      </w:r>
      <w:proofErr w:type="spellEnd"/>
      <w:r>
        <w:t xml:space="preserve"> (erroneous purchase) based on this alone. </w:t>
      </w:r>
    </w:p>
    <w:p w14:paraId="2E791103" w14:textId="77777777" w:rsidR="00943F89" w:rsidRDefault="00943F89" w:rsidP="00595EAE">
      <w:pPr>
        <w:bidi w:val="0"/>
        <w:spacing w:line="276" w:lineRule="auto"/>
        <w:ind w:firstLine="450"/>
      </w:pPr>
      <w:r>
        <w:t xml:space="preserve">However, what is sufficiently indicative of </w:t>
      </w:r>
      <w:proofErr w:type="spellStart"/>
      <w:r>
        <w:rPr>
          <w:i/>
          <w:iCs/>
        </w:rPr>
        <w:t>mekach</w:t>
      </w:r>
      <w:proofErr w:type="spellEnd"/>
      <w:r>
        <w:rPr>
          <w:i/>
          <w:iCs/>
        </w:rPr>
        <w:t xml:space="preserve"> </w:t>
      </w:r>
      <w:proofErr w:type="spellStart"/>
      <w:r>
        <w:rPr>
          <w:i/>
          <w:iCs/>
        </w:rPr>
        <w:t>ta’ut</w:t>
      </w:r>
      <w:proofErr w:type="spellEnd"/>
      <w:r>
        <w:t xml:space="preserve"> is that </w:t>
      </w:r>
      <w:r>
        <w:rPr>
          <w:i/>
          <w:iCs/>
        </w:rPr>
        <w:t>def1</w:t>
      </w:r>
      <w:r>
        <w:t xml:space="preserve"> was requested and warned several times to substantiate his claim of a share in </w:t>
      </w:r>
      <w:r>
        <w:rPr>
          <w:i/>
          <w:iCs/>
        </w:rPr>
        <w:t>comp2</w:t>
      </w:r>
      <w:r>
        <w:t xml:space="preserve"> and did not do so. The Rosh (Shut 107:6) rules that a litigant’s failure to provide information </w:t>
      </w:r>
      <w:proofErr w:type="spellStart"/>
      <w:r>
        <w:rPr>
          <w:i/>
          <w:iCs/>
        </w:rPr>
        <w:t>beit</w:t>
      </w:r>
      <w:proofErr w:type="spellEnd"/>
      <w:r>
        <w:rPr>
          <w:i/>
          <w:iCs/>
        </w:rPr>
        <w:t xml:space="preserve"> din</w:t>
      </w:r>
      <w:r>
        <w:t xml:space="preserve"> seeks when he is presumed to have it is a strong indication that his claim is contradicted by what he is withholding. The claim of a close relationship between </w:t>
      </w:r>
      <w:r>
        <w:rPr>
          <w:i/>
          <w:iCs/>
        </w:rPr>
        <w:t>def2</w:t>
      </w:r>
      <w:r>
        <w:t xml:space="preserve"> and the owner of </w:t>
      </w:r>
      <w:r>
        <w:rPr>
          <w:i/>
          <w:iCs/>
        </w:rPr>
        <w:t>comp2</w:t>
      </w:r>
      <w:r>
        <w:t xml:space="preserve"> was not proven. Even if it were, a buyer should not be expected to rely on such trust between his seller and the possible owner of rights. Thus, there are multiple reasons to consider the purchase a </w:t>
      </w:r>
      <w:proofErr w:type="spellStart"/>
      <w:r>
        <w:rPr>
          <w:i/>
          <w:iCs/>
        </w:rPr>
        <w:t>mekach</w:t>
      </w:r>
      <w:proofErr w:type="spellEnd"/>
      <w:r>
        <w:rPr>
          <w:i/>
          <w:iCs/>
        </w:rPr>
        <w:t xml:space="preserve"> </w:t>
      </w:r>
      <w:proofErr w:type="spellStart"/>
      <w:r>
        <w:rPr>
          <w:i/>
          <w:iCs/>
        </w:rPr>
        <w:t>ta’ut</w:t>
      </w:r>
      <w:proofErr w:type="spellEnd"/>
      <w:r>
        <w:t xml:space="preserve">. </w:t>
      </w:r>
    </w:p>
    <w:p w14:paraId="7DA89C86" w14:textId="2FFA4A62" w:rsidR="00FD6AA2" w:rsidRPr="00055C25" w:rsidRDefault="00943F89" w:rsidP="00595EAE">
      <w:pPr>
        <w:bidi w:val="0"/>
        <w:spacing w:line="276" w:lineRule="auto"/>
        <w:ind w:firstLine="450"/>
      </w:pPr>
      <w:r w:rsidRPr="00B32FC3">
        <w:rPr>
          <w:i/>
          <w:iCs/>
        </w:rPr>
        <w:t>We continue with more next time.</w:t>
      </w:r>
    </w:p>
    <w:p w14:paraId="1F09FB13" w14:textId="1F5CA570" w:rsidR="00997CA0" w:rsidRDefault="00997CA0" w:rsidP="00943F89">
      <w:pPr>
        <w:pStyle w:val="PlainText"/>
        <w:rPr>
          <w:color w:val="365F91"/>
        </w:rPr>
      </w:pPr>
    </w:p>
    <w:p w14:paraId="404380CB" w14:textId="78B0D40B" w:rsidR="00FD6AA2" w:rsidRDefault="00FD6AA2" w:rsidP="00FD6AA2">
      <w:pPr>
        <w:pStyle w:val="PlainText"/>
        <w:rPr>
          <w:color w:val="365F91"/>
        </w:rPr>
      </w:pPr>
    </w:p>
    <w:p w14:paraId="1742126A" w14:textId="77777777" w:rsidR="00997CA0" w:rsidRDefault="00997CA0" w:rsidP="00316F85">
      <w:pPr>
        <w:pStyle w:val="PlainText"/>
        <w:jc w:val="center"/>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595EAE"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3F2E633B"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595EAE">
      <w:rPr>
        <w:b/>
        <w:bCs/>
        <w:color w:val="D85640"/>
        <w:sz w:val="26"/>
        <w:szCs w:val="26"/>
      </w:rPr>
      <w:t>Le</w:t>
    </w:r>
    <w:r w:rsidR="009063D2">
      <w:rPr>
        <w:b/>
        <w:bCs/>
        <w:color w:val="D85640"/>
        <w:sz w:val="26"/>
        <w:szCs w:val="26"/>
      </w:rPr>
      <w:t>ch</w:t>
    </w:r>
    <w:r w:rsidR="00595EAE">
      <w:rPr>
        <w:b/>
        <w:bCs/>
        <w:color w:val="D85640"/>
        <w:sz w:val="26"/>
        <w:szCs w:val="26"/>
      </w:rPr>
      <w:t xml:space="preserve"> Lecha</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878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DC2"/>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5EAE"/>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2CCE"/>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3F89"/>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2A0B"/>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878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2981</Words>
  <Characters>14484</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17431</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2025-09-08T10:50:00Z</cp:lastPrinted>
  <dcterms:created xsi:type="dcterms:W3CDTF">2025-10-20T14:02:00Z</dcterms:created>
  <dcterms:modified xsi:type="dcterms:W3CDTF">2025-10-20T14:33:00Z</dcterms:modified>
</cp:coreProperties>
</file>